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CA3336">
      <w:pPr>
        <w:spacing w:line="600" w:lineRule="exact"/>
        <w:rPr>
          <w:rFonts w:ascii="仿宋" w:hAnsi="仿宋" w:eastAsia="仿宋" w:cs="仿宋"/>
          <w:sz w:val="36"/>
          <w:szCs w:val="36"/>
          <w:shd w:val="clear" w:color="auto" w:fill="FFFFFF"/>
        </w:rPr>
      </w:pPr>
      <w:r>
        <w:rPr>
          <w:rFonts w:hint="eastAsia" w:ascii="仿宋" w:hAnsi="仿宋" w:eastAsia="仿宋" w:cs="仿宋"/>
          <w:sz w:val="36"/>
          <w:szCs w:val="36"/>
          <w:shd w:val="clear" w:color="auto" w:fill="FFFFFF"/>
        </w:rPr>
        <w:t>附件1</w:t>
      </w:r>
    </w:p>
    <w:p w14:paraId="7011E299">
      <w:pPr>
        <w:pStyle w:val="11"/>
        <w:ind w:firstLine="640"/>
      </w:pPr>
    </w:p>
    <w:p w14:paraId="1B4B07D1">
      <w:pPr>
        <w:spacing w:line="600" w:lineRule="exact"/>
        <w:jc w:val="center"/>
        <w:rPr>
          <w:rFonts w:ascii="方正小标宋简体" w:hAnsi="Calibri" w:eastAsia="方正小标宋简体" w:cs="Times New Roman"/>
          <w:sz w:val="44"/>
          <w:szCs w:val="44"/>
        </w:rPr>
      </w:pPr>
      <w:r>
        <w:rPr>
          <w:rFonts w:hint="eastAsia" w:ascii="方正小标宋简体" w:hAnsi="Calibri" w:eastAsia="方正小标宋简体" w:cs="Times New Roman"/>
          <w:sz w:val="44"/>
          <w:szCs w:val="44"/>
        </w:rPr>
        <w:t>2024年度辽宁省社会科学规划基金项目（文艺评论专项）课题指南</w:t>
      </w:r>
    </w:p>
    <w:p w14:paraId="1D42EB3B">
      <w:pPr>
        <w:pStyle w:val="10"/>
        <w:widowControl/>
        <w:shd w:val="clear" w:color="auto" w:fill="FFFFFF"/>
        <w:spacing w:beforeAutospacing="0" w:afterAutospacing="0" w:line="600" w:lineRule="exact"/>
        <w:rPr>
          <w:rFonts w:ascii="仿宋" w:hAnsi="仿宋" w:eastAsia="仿宋" w:cs="仿宋"/>
          <w:b/>
          <w:bCs/>
          <w:sz w:val="30"/>
          <w:szCs w:val="30"/>
          <w:shd w:val="clear" w:color="auto" w:fill="FFFFFF"/>
        </w:rPr>
      </w:pPr>
    </w:p>
    <w:p w14:paraId="617E4106">
      <w:pPr>
        <w:pStyle w:val="11"/>
        <w:ind w:firstLine="0" w:firstLineChars="0"/>
        <w:rPr>
          <w:rFonts w:hint="eastAsia" w:ascii="仿宋_GB2312" w:hAnsi="仿宋_GB2312" w:eastAsia="仿宋_GB2312" w:cs="仿宋_GB2312"/>
          <w:b w:val="0"/>
          <w:bCs w:val="0"/>
          <w:sz w:val="36"/>
          <w:szCs w:val="36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6"/>
          <w:szCs w:val="36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sz w:val="36"/>
          <w:szCs w:val="36"/>
        </w:rPr>
        <w:t>以习近平文化思想引领新时代文艺创作实践研究</w:t>
      </w:r>
    </w:p>
    <w:p w14:paraId="30E5B579"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right="0"/>
        <w:jc w:val="left"/>
        <w:rPr>
          <w:rFonts w:hint="eastAsia" w:ascii="仿宋_GB2312" w:hAnsi="仿宋_GB2312" w:eastAsia="仿宋_GB2312" w:cs="仿宋_GB2312"/>
          <w:color w:val="auto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6"/>
          <w:szCs w:val="36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auto"/>
          <w:sz w:val="36"/>
          <w:szCs w:val="36"/>
        </w:rPr>
        <w:t>新时代人民文艺与人民美学</w:t>
      </w:r>
      <w:r>
        <w:rPr>
          <w:rFonts w:hint="eastAsia" w:ascii="仿宋_GB2312" w:hAnsi="仿宋_GB2312" w:eastAsia="仿宋_GB2312" w:cs="仿宋_GB2312"/>
          <w:color w:val="auto"/>
          <w:sz w:val="36"/>
          <w:szCs w:val="36"/>
          <w:lang w:eastAsia="zh-CN"/>
        </w:rPr>
        <w:t>研究</w:t>
      </w:r>
    </w:p>
    <w:p w14:paraId="4769BC3F">
      <w:pPr>
        <w:spacing w:line="580" w:lineRule="exact"/>
        <w:rPr>
          <w:rFonts w:hint="eastAsia" w:ascii="仿宋_GB2312" w:hAnsi="仿宋_GB2312" w:eastAsia="仿宋_GB2312" w:cs="仿宋_GB2312"/>
          <w:color w:val="auto"/>
          <w:sz w:val="36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6"/>
          <w:szCs w:val="36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auto"/>
          <w:kern w:val="0"/>
          <w:sz w:val="36"/>
          <w:szCs w:val="36"/>
          <w:lang w:val="en-US" w:eastAsia="zh-CN" w:bidi="ar-SA"/>
        </w:rPr>
        <w:t>“第二个结合”与文艺发展新空间研究</w:t>
      </w:r>
    </w:p>
    <w:p w14:paraId="665CAE44"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right="0"/>
        <w:jc w:val="left"/>
        <w:rPr>
          <w:rFonts w:hint="eastAsia" w:ascii="仿宋_GB2312" w:hAnsi="仿宋_GB2312" w:eastAsia="仿宋_GB2312" w:cs="仿宋_GB2312"/>
          <w:color w:val="auto"/>
          <w:sz w:val="36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6"/>
          <w:szCs w:val="36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color w:val="auto"/>
          <w:sz w:val="36"/>
          <w:szCs w:val="36"/>
          <w:lang w:eastAsia="zh-CN"/>
        </w:rPr>
        <w:t>时代经典与文化高峰研究</w:t>
      </w:r>
    </w:p>
    <w:p w14:paraId="3A28FEBF"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right="0"/>
        <w:jc w:val="left"/>
        <w:rPr>
          <w:rFonts w:hint="eastAsia" w:ascii="仿宋_GB2312" w:hAnsi="仿宋_GB2312" w:eastAsia="仿宋_GB2312" w:cs="仿宋_GB2312"/>
          <w:color w:val="auto"/>
          <w:spacing w:val="15"/>
          <w:kern w:val="0"/>
          <w:sz w:val="36"/>
          <w:szCs w:val="36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spacing w:val="15"/>
          <w:kern w:val="0"/>
          <w:sz w:val="36"/>
          <w:szCs w:val="36"/>
          <w:lang w:val="en-US" w:eastAsia="zh-CN" w:bidi="ar"/>
        </w:rPr>
        <w:t>5.各艺术门类评价体系建构研究</w:t>
      </w:r>
    </w:p>
    <w:p w14:paraId="5E08924E"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right="0"/>
        <w:jc w:val="left"/>
        <w:rPr>
          <w:rFonts w:hint="eastAsia" w:ascii="仿宋_GB2312" w:hAnsi="仿宋_GB2312" w:eastAsia="仿宋_GB2312" w:cs="仿宋_GB2312"/>
          <w:color w:val="auto"/>
          <w:sz w:val="36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6"/>
          <w:szCs w:val="36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color w:val="auto"/>
          <w:sz w:val="36"/>
          <w:szCs w:val="36"/>
        </w:rPr>
        <w:t>全媒体时代新文艺现象与新文艺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6"/>
          <w:szCs w:val="36"/>
        </w:rPr>
        <w:t>评论</w:t>
      </w:r>
      <w:r>
        <w:rPr>
          <w:rFonts w:hint="eastAsia" w:ascii="仿宋_GB2312" w:hAnsi="仿宋_GB2312" w:eastAsia="仿宋_GB2312" w:cs="仿宋_GB2312"/>
          <w:color w:val="auto"/>
          <w:sz w:val="36"/>
          <w:szCs w:val="36"/>
          <w:lang w:eastAsia="zh-CN"/>
        </w:rPr>
        <w:t>研究</w:t>
      </w:r>
    </w:p>
    <w:p w14:paraId="56FF12F9">
      <w:pPr>
        <w:spacing w:line="580" w:lineRule="exact"/>
        <w:rPr>
          <w:rFonts w:hint="eastAsia" w:ascii="仿宋_GB2312" w:hAnsi="仿宋_GB2312" w:eastAsia="仿宋_GB2312" w:cs="仿宋_GB2312"/>
          <w:color w:val="auto"/>
          <w:sz w:val="36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6"/>
          <w:szCs w:val="36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auto"/>
          <w:sz w:val="36"/>
          <w:szCs w:val="36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color w:val="auto"/>
          <w:sz w:val="36"/>
          <w:szCs w:val="36"/>
          <w:lang w:eastAsia="zh-CN"/>
        </w:rPr>
        <w:t>生成式人工智能与文艺创作研究</w:t>
      </w:r>
    </w:p>
    <w:p w14:paraId="767EB948">
      <w:pPr>
        <w:spacing w:line="580" w:lineRule="exact"/>
        <w:jc w:val="left"/>
        <w:rPr>
          <w:rFonts w:hint="eastAsia" w:ascii="仿宋_GB2312" w:hAnsi="仿宋_GB2312" w:eastAsia="仿宋_GB2312" w:cs="仿宋_GB2312"/>
          <w:color w:val="auto"/>
          <w:spacing w:val="15"/>
          <w:kern w:val="0"/>
          <w:sz w:val="36"/>
          <w:szCs w:val="36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spacing w:val="15"/>
          <w:kern w:val="0"/>
          <w:sz w:val="36"/>
          <w:szCs w:val="36"/>
          <w:lang w:val="en-US" w:eastAsia="zh-CN" w:bidi="ar"/>
        </w:rPr>
        <w:t>8</w:t>
      </w:r>
      <w:r>
        <w:rPr>
          <w:rFonts w:hint="eastAsia" w:ascii="仿宋_GB2312" w:hAnsi="仿宋_GB2312" w:eastAsia="仿宋_GB2312" w:cs="仿宋_GB2312"/>
          <w:color w:val="auto"/>
          <w:spacing w:val="15"/>
          <w:kern w:val="0"/>
          <w:sz w:val="36"/>
          <w:szCs w:val="36"/>
          <w:lang w:val="en-US" w:eastAsia="zh-CN" w:bidi="ar"/>
        </w:rPr>
        <w:t>.</w:t>
      </w:r>
      <w:r>
        <w:rPr>
          <w:rFonts w:hint="eastAsia" w:ascii="仿宋_GB2312" w:hAnsi="仿宋_GB2312" w:eastAsia="仿宋_GB2312" w:cs="仿宋_GB2312"/>
          <w:color w:val="auto"/>
          <w:kern w:val="0"/>
          <w:sz w:val="36"/>
          <w:szCs w:val="36"/>
          <w:lang w:val="en-US" w:eastAsia="zh-CN" w:bidi="ar"/>
        </w:rPr>
        <w:t>新大众文艺的生产机制与传播范式研究</w:t>
      </w:r>
    </w:p>
    <w:p w14:paraId="516E968D">
      <w:pPr>
        <w:rPr>
          <w:rFonts w:hint="eastAsia" w:ascii="仿宋_GB2312" w:hAnsi="仿宋_GB2312" w:eastAsia="仿宋_GB2312" w:cs="仿宋_GB2312"/>
          <w:b/>
          <w:bCs/>
          <w:color w:val="auto"/>
          <w:sz w:val="36"/>
          <w:szCs w:val="36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6"/>
          <w:szCs w:val="36"/>
          <w:lang w:val="en-US" w:eastAsia="zh-CN"/>
        </w:rPr>
        <w:t>9.</w:t>
      </w:r>
      <w:r>
        <w:rPr>
          <w:rFonts w:hint="eastAsia" w:ascii="仿宋_GB2312" w:hAnsi="仿宋_GB2312" w:eastAsia="仿宋_GB2312" w:cs="仿宋_GB2312"/>
          <w:color w:val="auto"/>
          <w:spacing w:val="15"/>
          <w:kern w:val="0"/>
          <w:sz w:val="36"/>
          <w:szCs w:val="36"/>
          <w:lang w:val="en-US" w:eastAsia="zh-CN" w:bidi="ar"/>
        </w:rPr>
        <w:t>辽宁文艺精品的经典范式与突围路径研究</w:t>
      </w:r>
    </w:p>
    <w:p w14:paraId="0A2C44B8">
      <w:pPr>
        <w:rPr>
          <w:rFonts w:hint="eastAsia" w:ascii="仿宋_GB2312" w:hAnsi="仿宋_GB2312" w:eastAsia="仿宋_GB2312" w:cs="仿宋_GB2312"/>
          <w:color w:val="auto"/>
          <w:spacing w:val="15"/>
          <w:kern w:val="0"/>
          <w:sz w:val="36"/>
          <w:szCs w:val="36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spacing w:val="15"/>
          <w:kern w:val="0"/>
          <w:sz w:val="36"/>
          <w:szCs w:val="36"/>
          <w:lang w:val="en-US" w:eastAsia="zh-CN" w:bidi="ar"/>
        </w:rPr>
        <w:t>10.</w:t>
      </w:r>
      <w:r>
        <w:rPr>
          <w:rFonts w:hint="eastAsia" w:ascii="仿宋_GB2312" w:hAnsi="仿宋_GB2312" w:eastAsia="仿宋_GB2312" w:cs="仿宋_GB2312"/>
          <w:color w:val="auto"/>
          <w:sz w:val="36"/>
          <w:szCs w:val="36"/>
          <w:lang w:val="en-US" w:eastAsia="zh-CN"/>
        </w:rPr>
        <w:t>辽宁地域文化的资源开发与创作实践研究</w:t>
      </w:r>
    </w:p>
    <w:p w14:paraId="096DC497">
      <w:pPr>
        <w:pStyle w:val="10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540" w:right="0" w:rightChars="0" w:hanging="540" w:hangingChars="150"/>
        <w:jc w:val="left"/>
        <w:rPr>
          <w:rFonts w:hint="eastAsia" w:ascii="仿宋_GB2312" w:hAnsi="仿宋_GB2312" w:eastAsia="仿宋_GB2312" w:cs="仿宋_GB2312"/>
          <w:color w:val="auto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6"/>
          <w:szCs w:val="36"/>
          <w:lang w:val="en-US" w:eastAsia="zh-CN"/>
        </w:rPr>
        <w:t>11.文体旅融合视域下辽宁文艺的文化记忆重构与城市形象传播研究</w:t>
      </w:r>
    </w:p>
    <w:p w14:paraId="363AB789">
      <w:pPr>
        <w:rPr>
          <w:rFonts w:hint="eastAsia" w:ascii="仿宋_GB2312" w:hAnsi="仿宋_GB2312" w:eastAsia="仿宋_GB2312" w:cs="仿宋_GB2312"/>
          <w:color w:val="auto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6"/>
          <w:szCs w:val="36"/>
          <w:lang w:val="en-US" w:eastAsia="zh-CN"/>
        </w:rPr>
        <w:t>12.东北抗联文艺的挖掘、整理与评价研究</w:t>
      </w:r>
    </w:p>
    <w:p w14:paraId="3565837F">
      <w:pPr>
        <w:rPr>
          <w:rFonts w:hint="eastAsia" w:ascii="仿宋_GB2312" w:hAnsi="仿宋_GB2312" w:eastAsia="仿宋_GB2312" w:cs="仿宋_GB2312"/>
          <w:color w:val="auto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6"/>
          <w:szCs w:val="36"/>
          <w:lang w:val="en-US" w:eastAsia="zh-CN"/>
        </w:rPr>
        <w:t>13.辽宁文艺名家与名作研究</w:t>
      </w:r>
    </w:p>
    <w:p w14:paraId="38368E19">
      <w:pPr>
        <w:ind w:left="694" w:hanging="720" w:hangingChars="200"/>
        <w:rPr>
          <w:rFonts w:hint="eastAsia" w:ascii="仿宋_GB2312" w:hAnsi="仿宋_GB2312" w:eastAsia="仿宋_GB2312" w:cs="仿宋_GB2312"/>
          <w:color w:val="auto"/>
          <w:kern w:val="0"/>
          <w:sz w:val="36"/>
          <w:szCs w:val="36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z w:val="36"/>
          <w:szCs w:val="36"/>
          <w:lang w:val="en-US" w:eastAsia="zh-CN"/>
        </w:rPr>
        <w:t>14.</w:t>
      </w:r>
      <w:r>
        <w:rPr>
          <w:rFonts w:hint="eastAsia" w:ascii="仿宋_GB2312" w:hAnsi="仿宋_GB2312" w:eastAsia="仿宋_GB2312" w:cs="仿宋_GB2312"/>
          <w:color w:val="auto"/>
          <w:kern w:val="0"/>
          <w:sz w:val="36"/>
          <w:szCs w:val="36"/>
          <w:lang w:val="en-US" w:eastAsia="zh-CN" w:bidi="ar-SA"/>
        </w:rPr>
        <w:t>辽宁艺术文献整理与研究（分阶段：1949年-1978</w:t>
      </w:r>
    </w:p>
    <w:p w14:paraId="1C2F0424">
      <w:pPr>
        <w:ind w:firstLine="360" w:firstLineChars="100"/>
        <w:rPr>
          <w:rFonts w:hint="eastAsia" w:ascii="仿宋_GB2312" w:hAnsi="仿宋_GB2312" w:eastAsia="仿宋_GB2312" w:cs="仿宋_GB2312"/>
          <w:color w:val="auto"/>
          <w:kern w:val="0"/>
          <w:sz w:val="36"/>
          <w:szCs w:val="36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6"/>
          <w:szCs w:val="36"/>
          <w:lang w:val="en-US" w:eastAsia="zh-CN" w:bidi="ar-SA"/>
        </w:rPr>
        <w:t>年；1978年-2012年;2012年以来）</w:t>
      </w:r>
    </w:p>
    <w:p w14:paraId="28A2B424">
      <w:pPr>
        <w:rPr>
          <w:rFonts w:hint="eastAsia" w:ascii="仿宋_GB2312" w:hAnsi="仿宋_GB2312" w:eastAsia="仿宋_GB2312" w:cs="仿宋_GB2312"/>
          <w:b/>
          <w:bCs/>
          <w:sz w:val="36"/>
          <w:szCs w:val="36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  <w:t>调研课题：</w:t>
      </w:r>
    </w:p>
    <w:p w14:paraId="2AF29C40">
      <w:pPr>
        <w:rPr>
          <w:rFonts w:hint="eastAsia" w:ascii="仿宋_GB2312" w:hAnsi="仿宋_GB2312" w:eastAsia="仿宋_GB2312" w:cs="仿宋_GB2312"/>
          <w:b/>
          <w:bCs/>
          <w:sz w:val="36"/>
          <w:szCs w:val="36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6"/>
          <w:szCs w:val="36"/>
          <w:lang w:val="en-US" w:eastAsia="zh-CN"/>
        </w:rPr>
        <w:t>15.</w:t>
      </w:r>
      <w:r>
        <w:rPr>
          <w:rFonts w:hint="eastAsia" w:ascii="仿宋_GB2312" w:hAnsi="仿宋_GB2312" w:eastAsia="仿宋_GB2312" w:cs="仿宋_GB2312"/>
          <w:color w:val="auto"/>
          <w:sz w:val="36"/>
          <w:szCs w:val="36"/>
          <w:lang w:val="en-US" w:eastAsia="zh-CN"/>
        </w:rPr>
        <w:t>提升辽宁</w:t>
      </w:r>
      <w:r>
        <w:rPr>
          <w:rFonts w:hint="eastAsia" w:ascii="仿宋_GB2312" w:hAnsi="仿宋_GB2312" w:eastAsia="仿宋_GB2312" w:cs="仿宋_GB2312"/>
          <w:color w:val="auto"/>
          <w:sz w:val="36"/>
          <w:szCs w:val="36"/>
        </w:rPr>
        <w:t>文艺原创力研究</w:t>
      </w:r>
    </w:p>
    <w:p w14:paraId="779BFE0E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color w:val="auto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6"/>
          <w:szCs w:val="36"/>
          <w:lang w:val="en-US" w:eastAsia="zh-CN"/>
        </w:rPr>
        <w:t>16.</w:t>
      </w:r>
      <w:r>
        <w:rPr>
          <w:rFonts w:hint="eastAsia" w:ascii="仿宋_GB2312" w:hAnsi="仿宋_GB2312" w:eastAsia="仿宋_GB2312" w:cs="仿宋_GB2312"/>
          <w:color w:val="auto"/>
          <w:sz w:val="36"/>
          <w:szCs w:val="36"/>
          <w:lang w:val="en-US" w:eastAsia="zh-CN"/>
        </w:rPr>
        <w:t>辽宁各艺术门类文艺人才发展趋势及培养研究</w:t>
      </w:r>
    </w:p>
    <w:p w14:paraId="25651750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color w:val="auto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6"/>
          <w:szCs w:val="36"/>
          <w:lang w:val="en-US" w:eastAsia="zh-CN"/>
        </w:rPr>
        <w:t>17.</w:t>
      </w:r>
      <w:r>
        <w:rPr>
          <w:rFonts w:hint="eastAsia" w:ascii="仿宋_GB2312" w:hAnsi="仿宋_GB2312" w:eastAsia="仿宋_GB2312" w:cs="仿宋_GB2312"/>
          <w:color w:val="auto"/>
          <w:sz w:val="36"/>
          <w:szCs w:val="36"/>
          <w:lang w:val="en-US" w:eastAsia="zh-CN"/>
        </w:rPr>
        <w:t>辽宁各</w:t>
      </w:r>
      <w:r>
        <w:rPr>
          <w:rFonts w:hint="eastAsia" w:ascii="仿宋_GB2312" w:hAnsi="仿宋_GB2312" w:eastAsia="仿宋_GB2312" w:cs="仿宋_GB2312"/>
          <w:color w:val="auto"/>
          <w:sz w:val="36"/>
          <w:szCs w:val="36"/>
          <w:lang w:val="en-US" w:eastAsia="zh-CN"/>
        </w:rPr>
        <w:t>艺术门类发展调查研究</w:t>
      </w:r>
    </w:p>
    <w:p w14:paraId="425943F5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color w:val="auto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6"/>
          <w:szCs w:val="36"/>
          <w:lang w:val="en-US" w:eastAsia="zh-CN"/>
        </w:rPr>
        <w:t>18.如何让优质文艺资源直达基层研究</w:t>
      </w:r>
    </w:p>
    <w:p w14:paraId="3BF8EDDD">
      <w:pPr>
        <w:pStyle w:val="10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right="0" w:rightChars="0"/>
        <w:jc w:val="left"/>
        <w:rPr>
          <w:rFonts w:hint="eastAsia" w:ascii="仿宋_GB2312" w:hAnsi="仿宋_GB2312" w:eastAsia="仿宋_GB2312" w:cs="仿宋_GB2312"/>
          <w:color w:val="auto"/>
          <w:sz w:val="36"/>
          <w:szCs w:val="36"/>
          <w:lang w:val="en-US" w:eastAsia="zh-CN"/>
        </w:rPr>
      </w:pPr>
    </w:p>
    <w:p w14:paraId="5B4C601C">
      <w:pPr>
        <w:spacing w:line="600" w:lineRule="exact"/>
        <w:ind w:firstLine="720" w:firstLineChars="200"/>
        <w:rPr>
          <w:rFonts w:ascii="仿宋" w:hAnsi="仿宋" w:eastAsia="仿宋" w:cs="仿宋"/>
          <w:sz w:val="36"/>
          <w:szCs w:val="36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U5NzA3MWNmMWMwODIzYTY4YTI4YWI4MTY0MDgxODQifQ=="/>
  </w:docVars>
  <w:rsids>
    <w:rsidRoot w:val="028315E6"/>
    <w:rsid w:val="000A1EA6"/>
    <w:rsid w:val="000E1CDE"/>
    <w:rsid w:val="00140CA1"/>
    <w:rsid w:val="001B3967"/>
    <w:rsid w:val="001F656D"/>
    <w:rsid w:val="001F673B"/>
    <w:rsid w:val="00211A49"/>
    <w:rsid w:val="00251E62"/>
    <w:rsid w:val="002A68C9"/>
    <w:rsid w:val="002E26F2"/>
    <w:rsid w:val="00363C01"/>
    <w:rsid w:val="003F21B8"/>
    <w:rsid w:val="004960DB"/>
    <w:rsid w:val="004C3B06"/>
    <w:rsid w:val="004D4F88"/>
    <w:rsid w:val="004F75C5"/>
    <w:rsid w:val="005505B9"/>
    <w:rsid w:val="005B5A67"/>
    <w:rsid w:val="00634225"/>
    <w:rsid w:val="00693A24"/>
    <w:rsid w:val="00702DD8"/>
    <w:rsid w:val="0076406F"/>
    <w:rsid w:val="007C6FD6"/>
    <w:rsid w:val="007E5063"/>
    <w:rsid w:val="00883BCE"/>
    <w:rsid w:val="009578EA"/>
    <w:rsid w:val="00963FAD"/>
    <w:rsid w:val="009C505D"/>
    <w:rsid w:val="00A25133"/>
    <w:rsid w:val="00A505BA"/>
    <w:rsid w:val="00AA18FF"/>
    <w:rsid w:val="00AD6670"/>
    <w:rsid w:val="00B777B7"/>
    <w:rsid w:val="00B97B4E"/>
    <w:rsid w:val="00C547CF"/>
    <w:rsid w:val="00C9564C"/>
    <w:rsid w:val="00CC4CFE"/>
    <w:rsid w:val="00CE0D78"/>
    <w:rsid w:val="00D4021A"/>
    <w:rsid w:val="00D9072E"/>
    <w:rsid w:val="00DA27DA"/>
    <w:rsid w:val="00DD7272"/>
    <w:rsid w:val="00E63A8D"/>
    <w:rsid w:val="00E9690E"/>
    <w:rsid w:val="00EB1D04"/>
    <w:rsid w:val="00FC40DD"/>
    <w:rsid w:val="028315E6"/>
    <w:rsid w:val="03A25B47"/>
    <w:rsid w:val="31543CF3"/>
    <w:rsid w:val="3D107DE2"/>
    <w:rsid w:val="3E7FA6E7"/>
    <w:rsid w:val="49C175B0"/>
    <w:rsid w:val="570064CA"/>
    <w:rsid w:val="5E69DD66"/>
    <w:rsid w:val="6979005B"/>
    <w:rsid w:val="7DDDA972"/>
    <w:rsid w:val="FFF50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3"/>
    <w:basedOn w:val="1"/>
    <w:next w:val="3"/>
    <w:qFormat/>
    <w:uiPriority w:val="0"/>
    <w:pPr>
      <w:ind w:left="100" w:firstLine="3640"/>
    </w:pPr>
  </w:style>
  <w:style w:type="paragraph" w:styleId="3">
    <w:name w:val="Body Text"/>
    <w:basedOn w:val="1"/>
    <w:next w:val="4"/>
    <w:qFormat/>
    <w:uiPriority w:val="0"/>
    <w:pPr>
      <w:spacing w:after="120"/>
    </w:pPr>
  </w:style>
  <w:style w:type="paragraph" w:customStyle="1" w:styleId="4">
    <w:name w:val="标准"/>
    <w:basedOn w:val="1"/>
    <w:next w:val="1"/>
    <w:autoRedefine/>
    <w:qFormat/>
    <w:uiPriority w:val="0"/>
    <w:pPr>
      <w:spacing w:before="120" w:after="120" w:line="312" w:lineRule="atLeast"/>
      <w:ind w:firstLine="3584"/>
    </w:pPr>
  </w:style>
  <w:style w:type="paragraph" w:styleId="5">
    <w:name w:val="Body Text Indent"/>
    <w:basedOn w:val="1"/>
    <w:next w:val="6"/>
    <w:qFormat/>
    <w:uiPriority w:val="0"/>
    <w:pPr>
      <w:ind w:firstLine="555"/>
    </w:pPr>
    <w:rPr>
      <w:rFonts w:ascii="楷体_GB2312" w:eastAsia="楷体_GB2312"/>
      <w:sz w:val="28"/>
    </w:rPr>
  </w:style>
  <w:style w:type="paragraph" w:styleId="6">
    <w:name w:val="Body Text 2"/>
    <w:basedOn w:val="1"/>
    <w:next w:val="7"/>
    <w:qFormat/>
    <w:uiPriority w:val="0"/>
    <w:rPr>
      <w:sz w:val="24"/>
    </w:rPr>
  </w:style>
  <w:style w:type="paragraph" w:styleId="7">
    <w:name w:val="List 2"/>
    <w:basedOn w:val="1"/>
    <w:next w:val="2"/>
    <w:qFormat/>
    <w:uiPriority w:val="0"/>
    <w:pPr>
      <w:ind w:left="100" w:leftChars="200" w:hanging="200" w:hangingChars="200"/>
    </w:pPr>
  </w:style>
  <w:style w:type="paragraph" w:styleId="8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1">
    <w:name w:val="Body Text First Indent 2"/>
    <w:basedOn w:val="5"/>
    <w:unhideWhenUsed/>
    <w:qFormat/>
    <w:uiPriority w:val="0"/>
    <w:pPr>
      <w:ind w:firstLine="420" w:firstLineChars="200"/>
    </w:pPr>
    <w:rPr>
      <w:rFonts w:ascii="Times New Roman" w:hAnsi="Times New Roman" w:eastAsia="宋体" w:cs="Times New Roman"/>
      <w:sz w:val="32"/>
    </w:rPr>
  </w:style>
  <w:style w:type="character" w:customStyle="1" w:styleId="14">
    <w:name w:val="页眉 Char"/>
    <w:basedOn w:val="13"/>
    <w:link w:val="9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页脚 Char"/>
    <w:basedOn w:val="13"/>
    <w:link w:val="8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46</Words>
  <Characters>263</Characters>
  <Lines>2</Lines>
  <Paragraphs>1</Paragraphs>
  <TotalTime>1</TotalTime>
  <ScaleCrop>false</ScaleCrop>
  <LinksUpToDate>false</LinksUpToDate>
  <CharactersWithSpaces>308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2024-04-12T23:59:00Z</dcterms:created>
  <dc:creator>马琳</dc:creator>
  <cp:lastModifiedBy>uos</cp:lastModifiedBy>
  <cp:lastPrinted>2024-04-30T07:49:00Z</cp:lastPrinted>
  <dcterms:modified xsi:type="dcterms:W3CDTF">2025-07-30T14:05:13Z</dcterms:modified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24971CE724D746E08D86C4C6A96C9FE4_11</vt:lpwstr>
  </property>
</Properties>
</file>