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黑体" w:hAnsi="黑体" w:eastAsia="黑体" w:cs="黑体"/>
          <w:b w:val="0"/>
          <w:bCs/>
          <w:sz w:val="44"/>
          <w:szCs w:val="44"/>
        </w:rPr>
      </w:pPr>
      <w:r>
        <w:rPr>
          <w:rFonts w:hint="eastAsia" w:ascii="黑体" w:hAnsi="黑体" w:eastAsia="黑体" w:cs="黑体"/>
          <w:b w:val="0"/>
          <w:bCs/>
          <w:sz w:val="44"/>
          <w:szCs w:val="44"/>
          <w:lang w:val="en-US" w:eastAsia="zh-CN"/>
        </w:rPr>
        <w:t>辽宁传媒学院2021年度</w:t>
      </w:r>
      <w:r>
        <w:rPr>
          <w:rFonts w:hint="eastAsia" w:ascii="黑体" w:hAnsi="黑体" w:eastAsia="黑体" w:cs="黑体"/>
          <w:b w:val="0"/>
          <w:bCs/>
          <w:sz w:val="44"/>
          <w:szCs w:val="44"/>
        </w:rPr>
        <w:t>师德师风</w:t>
      </w:r>
    </w:p>
    <w:p>
      <w:pPr>
        <w:jc w:val="center"/>
        <w:rPr>
          <w:rFonts w:hint="eastAsia" w:ascii="黑体" w:hAnsi="黑体" w:eastAsia="黑体" w:cs="黑体"/>
          <w:b w:val="0"/>
          <w:bCs/>
          <w:sz w:val="44"/>
          <w:szCs w:val="44"/>
        </w:rPr>
      </w:pPr>
      <w:r>
        <w:rPr>
          <w:rFonts w:hint="eastAsia" w:ascii="黑体" w:hAnsi="黑体" w:eastAsia="黑体" w:cs="黑体"/>
          <w:b w:val="0"/>
          <w:bCs/>
          <w:sz w:val="44"/>
          <w:szCs w:val="44"/>
        </w:rPr>
        <w:t>建设工作计划</w:t>
      </w:r>
    </w:p>
    <w:p>
      <w:pPr>
        <w:jc w:val="center"/>
        <w:rPr>
          <w:rFonts w:hint="eastAsia" w:ascii="黑体" w:hAnsi="黑体" w:eastAsia="黑体" w:cs="黑体"/>
          <w:b w:val="0"/>
          <w:bCs/>
          <w:sz w:val="44"/>
          <w:szCs w:val="44"/>
        </w:rPr>
      </w:pPr>
    </w:p>
    <w:p>
      <w:pPr>
        <w:pStyle w:val="8"/>
        <w:numPr>
          <w:ilvl w:val="0"/>
          <w:numId w:val="1"/>
        </w:numPr>
        <w:ind w:firstLineChars="0"/>
        <w:jc w:val="left"/>
        <w:rPr>
          <w:rFonts w:hint="eastAsia" w:ascii="黑体" w:hAnsi="黑体" w:eastAsia="黑体" w:cs="黑体"/>
          <w:sz w:val="30"/>
          <w:szCs w:val="30"/>
        </w:rPr>
      </w:pPr>
      <w:r>
        <w:rPr>
          <w:rFonts w:hint="eastAsia" w:ascii="黑体" w:hAnsi="黑体" w:eastAsia="黑体" w:cs="黑体"/>
          <w:b/>
          <w:sz w:val="30"/>
          <w:szCs w:val="30"/>
        </w:rPr>
        <w:t>指导思想</w:t>
      </w:r>
      <w:r>
        <w:rPr>
          <w:rFonts w:hint="eastAsia" w:ascii="黑体" w:hAnsi="黑体" w:eastAsia="黑体" w:cs="黑体"/>
          <w:sz w:val="30"/>
          <w:szCs w:val="30"/>
        </w:rPr>
        <w:t> </w:t>
      </w:r>
    </w:p>
    <w:p>
      <w:pPr>
        <w:pStyle w:val="8"/>
        <w:keepNext w:val="0"/>
        <w:keepLines w:val="0"/>
        <w:pageBreakBefore w:val="0"/>
        <w:widowControl w:val="0"/>
        <w:kinsoku/>
        <w:wordWrap/>
        <w:overflowPunct/>
        <w:topLinePunct w:val="0"/>
        <w:autoSpaceDE/>
        <w:autoSpaceDN/>
        <w:bidi w:val="0"/>
        <w:adjustRightInd/>
        <w:snapToGrid/>
        <w:ind w:firstLine="640"/>
        <w:jc w:val="both"/>
        <w:textAlignment w:val="auto"/>
        <w:rPr>
          <w:rFonts w:hint="eastAsia" w:ascii="仿宋" w:hAnsi="仿宋" w:eastAsia="仿宋" w:cs="仿宋"/>
          <w:sz w:val="30"/>
          <w:szCs w:val="30"/>
        </w:rPr>
      </w:pPr>
      <w:r>
        <w:rPr>
          <w:rFonts w:hint="eastAsia" w:ascii="仿宋" w:hAnsi="仿宋" w:eastAsia="仿宋" w:cs="仿宋"/>
          <w:sz w:val="30"/>
          <w:szCs w:val="30"/>
        </w:rPr>
        <w:t>为建立健全学校师德建设长效机制，切实提升教师师德素养，全面提高学校师德建设水平，根据《中华人民共和国教师法》、《教育部关于建立健全高校师德建设长效机制的意见》、《教育部关于高校教师师德失范行为处理的指导意见》、《教育部新时代高校教师职业行为十项准则》等有关规定，扎实开展师德师风建设活动，结合</w:t>
      </w:r>
      <w:r>
        <w:rPr>
          <w:rFonts w:hint="eastAsia" w:ascii="仿宋" w:hAnsi="仿宋" w:eastAsia="仿宋" w:cs="仿宋"/>
          <w:sz w:val="30"/>
          <w:szCs w:val="30"/>
          <w:lang w:val="en-US" w:eastAsia="zh-CN"/>
        </w:rPr>
        <w:t>学校年度工作任务目标</w:t>
      </w:r>
      <w:r>
        <w:rPr>
          <w:rFonts w:hint="eastAsia" w:ascii="仿宋" w:hAnsi="仿宋" w:eastAsia="仿宋" w:cs="仿宋"/>
          <w:sz w:val="30"/>
          <w:szCs w:val="30"/>
        </w:rPr>
        <w:t>，特制订本</w:t>
      </w:r>
      <w:r>
        <w:rPr>
          <w:rFonts w:hint="eastAsia" w:ascii="仿宋" w:hAnsi="仿宋" w:eastAsia="仿宋" w:cs="仿宋"/>
          <w:sz w:val="30"/>
          <w:szCs w:val="30"/>
          <w:lang w:val="en-US" w:eastAsia="zh-CN"/>
        </w:rPr>
        <w:t>工作</w:t>
      </w:r>
      <w:r>
        <w:rPr>
          <w:rFonts w:hint="eastAsia" w:ascii="仿宋" w:hAnsi="仿宋" w:eastAsia="仿宋" w:cs="仿宋"/>
          <w:sz w:val="30"/>
          <w:szCs w:val="30"/>
        </w:rPr>
        <w:t>计划。 </w:t>
      </w:r>
    </w:p>
    <w:p>
      <w:pPr>
        <w:pStyle w:val="8"/>
        <w:numPr>
          <w:ilvl w:val="0"/>
          <w:numId w:val="1"/>
        </w:numPr>
        <w:ind w:firstLineChars="0"/>
        <w:jc w:val="left"/>
        <w:rPr>
          <w:rFonts w:hint="eastAsia" w:ascii="黑体" w:hAnsi="黑体" w:eastAsia="黑体" w:cs="黑体"/>
          <w:b/>
          <w:sz w:val="30"/>
          <w:szCs w:val="30"/>
        </w:rPr>
      </w:pPr>
      <w:r>
        <w:rPr>
          <w:rFonts w:hint="eastAsia" w:ascii="黑体" w:hAnsi="黑体" w:eastAsia="黑体" w:cs="黑体"/>
          <w:b/>
          <w:sz w:val="30"/>
          <w:szCs w:val="30"/>
        </w:rPr>
        <w:t>工作目标 </w:t>
      </w:r>
    </w:p>
    <w:p>
      <w:pPr>
        <w:pStyle w:val="8"/>
        <w:keepNext w:val="0"/>
        <w:keepLines w:val="0"/>
        <w:pageBreakBefore w:val="0"/>
        <w:widowControl w:val="0"/>
        <w:kinsoku/>
        <w:wordWrap/>
        <w:overflowPunct/>
        <w:topLinePunct w:val="0"/>
        <w:autoSpaceDE/>
        <w:autoSpaceDN/>
        <w:bidi w:val="0"/>
        <w:adjustRightInd/>
        <w:snapToGrid/>
        <w:ind w:firstLine="640"/>
        <w:jc w:val="both"/>
        <w:textAlignment w:val="auto"/>
        <w:rPr>
          <w:rFonts w:hint="eastAsia" w:eastAsia="仿宋"/>
          <w:sz w:val="32"/>
          <w:szCs w:val="32"/>
          <w:lang w:val="en-US" w:eastAsia="zh-CN"/>
        </w:rPr>
      </w:pPr>
      <w:r>
        <w:rPr>
          <w:rFonts w:hint="eastAsia" w:ascii="仿宋" w:hAnsi="仿宋" w:eastAsia="仿宋" w:cs="仿宋"/>
          <w:sz w:val="30"/>
          <w:szCs w:val="30"/>
        </w:rPr>
        <w:t>以榜样教育，自我教育、自我修炼为主导，激励教师爱岗敬业、热爱学生、为人师表，使教师思想适应素质教育和课改要求，全面提高教师的师德水平，努力建设一支政治思想强，工作作风硬，教学业绩、综合素质高的教师队伍，从而塑造教师良好形象。全面落实“两优化”：师德师风进一步优化, 引导教师把教书育人和自我修养结合起来，做到以德立身、以德立学、以德施教。教风校风进一步优化，使学校成为教学质量一流、学生能力突出、办学特色鲜明、社会满意、家长放心的高等教育人才培养基地。努力实现“四提升”：师德形象进一步提升，职业能力进一步提升、教学质量进一步提升、</w:t>
      </w:r>
      <w:r>
        <w:rPr>
          <w:rFonts w:hint="eastAsia" w:ascii="仿宋" w:hAnsi="仿宋" w:eastAsia="仿宋" w:cs="仿宋"/>
          <w:sz w:val="30"/>
          <w:szCs w:val="30"/>
          <w:lang w:val="en-US" w:eastAsia="zh-CN"/>
        </w:rPr>
        <w:t>学生</w:t>
      </w:r>
      <w:r>
        <w:rPr>
          <w:rFonts w:hint="eastAsia" w:ascii="仿宋" w:hAnsi="仿宋" w:eastAsia="仿宋" w:cs="仿宋"/>
          <w:sz w:val="30"/>
          <w:szCs w:val="30"/>
        </w:rPr>
        <w:t>就业</w:t>
      </w:r>
      <w:r>
        <w:rPr>
          <w:rFonts w:hint="eastAsia" w:ascii="仿宋" w:hAnsi="仿宋" w:eastAsia="仿宋" w:cs="仿宋"/>
          <w:sz w:val="30"/>
          <w:szCs w:val="30"/>
          <w:lang w:val="en-US" w:eastAsia="zh-CN"/>
        </w:rPr>
        <w:t>质量</w:t>
      </w:r>
      <w:r>
        <w:rPr>
          <w:rFonts w:hint="eastAsia" w:ascii="仿宋" w:hAnsi="仿宋" w:eastAsia="仿宋" w:cs="仿宋"/>
          <w:sz w:val="30"/>
          <w:szCs w:val="30"/>
        </w:rPr>
        <w:t>进一步提升。</w:t>
      </w:r>
      <w:r>
        <w:rPr>
          <w:rFonts w:hint="eastAsia" w:ascii="仿宋" w:hAnsi="仿宋" w:eastAsia="仿宋" w:cs="仿宋"/>
          <w:sz w:val="30"/>
          <w:szCs w:val="30"/>
          <w:lang w:val="en-US" w:eastAsia="zh-CN"/>
        </w:rPr>
        <w:t>确保全年、全员参加师德师风建设活动，</w:t>
      </w:r>
      <w:bookmarkStart w:id="0" w:name="_GoBack"/>
      <w:bookmarkEnd w:id="0"/>
      <w:r>
        <w:rPr>
          <w:rFonts w:hint="eastAsia" w:ascii="仿宋" w:hAnsi="仿宋" w:eastAsia="仿宋" w:cs="仿宋"/>
          <w:sz w:val="30"/>
          <w:szCs w:val="30"/>
          <w:lang w:val="en-US" w:eastAsia="zh-CN"/>
        </w:rPr>
        <w:t>全年力争教师获得市级以上师德师风奖项3人次以上，教师违反师德行为规范为零。</w:t>
      </w:r>
    </w:p>
    <w:p>
      <w:pPr>
        <w:pStyle w:val="8"/>
        <w:numPr>
          <w:ilvl w:val="0"/>
          <w:numId w:val="1"/>
        </w:numPr>
        <w:ind w:firstLineChars="0"/>
        <w:jc w:val="left"/>
        <w:rPr>
          <w:rFonts w:hint="eastAsia" w:ascii="黑体" w:hAnsi="黑体" w:eastAsia="黑体" w:cs="黑体"/>
          <w:b/>
          <w:sz w:val="30"/>
          <w:szCs w:val="30"/>
        </w:rPr>
      </w:pPr>
      <w:r>
        <w:rPr>
          <w:rFonts w:hint="eastAsia" w:ascii="黑体" w:hAnsi="黑体" w:eastAsia="黑体" w:cs="黑体"/>
          <w:b/>
          <w:sz w:val="30"/>
          <w:szCs w:val="30"/>
        </w:rPr>
        <w:t>主要措施</w:t>
      </w:r>
    </w:p>
    <w:p>
      <w:pPr>
        <w:pStyle w:val="8"/>
        <w:keepNext w:val="0"/>
        <w:keepLines w:val="0"/>
        <w:pageBreakBefore w:val="0"/>
        <w:widowControl w:val="0"/>
        <w:kinsoku/>
        <w:wordWrap/>
        <w:overflowPunct/>
        <w:topLinePunct w:val="0"/>
        <w:autoSpaceDE/>
        <w:autoSpaceDN/>
        <w:bidi w:val="0"/>
        <w:adjustRightInd/>
        <w:snapToGrid/>
        <w:ind w:firstLine="640"/>
        <w:jc w:val="both"/>
        <w:textAlignment w:val="auto"/>
        <w:rPr>
          <w:rFonts w:hint="eastAsia" w:ascii="仿宋" w:hAnsi="仿宋" w:eastAsia="仿宋" w:cs="仿宋"/>
          <w:sz w:val="30"/>
          <w:szCs w:val="30"/>
        </w:rPr>
      </w:pPr>
      <w:r>
        <w:rPr>
          <w:rFonts w:hint="eastAsia" w:ascii="仿宋" w:hAnsi="仿宋" w:eastAsia="仿宋" w:cs="仿宋"/>
          <w:sz w:val="30"/>
          <w:szCs w:val="30"/>
        </w:rPr>
        <w:t>（一）推进全员师德培训</w:t>
      </w:r>
    </w:p>
    <w:p>
      <w:pPr>
        <w:pStyle w:val="8"/>
        <w:keepNext w:val="0"/>
        <w:keepLines w:val="0"/>
        <w:pageBreakBefore w:val="0"/>
        <w:widowControl w:val="0"/>
        <w:kinsoku/>
        <w:wordWrap/>
        <w:overflowPunct/>
        <w:topLinePunct w:val="0"/>
        <w:autoSpaceDE/>
        <w:autoSpaceDN/>
        <w:bidi w:val="0"/>
        <w:adjustRightInd/>
        <w:snapToGrid/>
        <w:ind w:firstLine="640"/>
        <w:jc w:val="both"/>
        <w:textAlignment w:val="auto"/>
        <w:rPr>
          <w:rFonts w:hint="eastAsia" w:ascii="仿宋" w:hAnsi="仿宋" w:eastAsia="仿宋" w:cs="仿宋"/>
          <w:sz w:val="30"/>
          <w:szCs w:val="30"/>
        </w:rPr>
      </w:pPr>
      <w:r>
        <w:rPr>
          <w:rFonts w:hint="eastAsia" w:ascii="仿宋" w:hAnsi="仿宋" w:eastAsia="仿宋" w:cs="仿宋"/>
          <w:sz w:val="30"/>
          <w:szCs w:val="30"/>
        </w:rPr>
        <w:t>开展全员师德学习教育，引导教师坚定信念，做好学生的引路人。将师德教育贯穿于教师职业生涯的全过程。积极开设新教师师德教育岗前专题培训，每年依托教务处网络平台组织“师德专题网络培训”、“师德论坛”等活动，每</w:t>
      </w:r>
      <w:r>
        <w:rPr>
          <w:rFonts w:hint="eastAsia" w:ascii="仿宋" w:hAnsi="仿宋" w:eastAsia="仿宋" w:cs="仿宋"/>
          <w:sz w:val="30"/>
          <w:szCs w:val="30"/>
          <w:lang w:val="en-US" w:eastAsia="zh-CN"/>
        </w:rPr>
        <w:t>学期</w:t>
      </w:r>
      <w:r>
        <w:rPr>
          <w:rFonts w:hint="eastAsia" w:ascii="仿宋" w:hAnsi="仿宋" w:eastAsia="仿宋" w:cs="仿宋"/>
          <w:sz w:val="30"/>
          <w:szCs w:val="30"/>
        </w:rPr>
        <w:t>举行新教师入职宣誓仪式，寓师德教育于各项具体活动之中，增强师德教育的全员参与性，激发全校教师的职业自豪感、荣誉感和使命感，使他们热爱教师职业，树立崇高师德。</w:t>
      </w:r>
    </w:p>
    <w:p>
      <w:pPr>
        <w:pStyle w:val="8"/>
        <w:keepNext w:val="0"/>
        <w:keepLines w:val="0"/>
        <w:pageBreakBefore w:val="0"/>
        <w:widowControl w:val="0"/>
        <w:kinsoku/>
        <w:wordWrap/>
        <w:overflowPunct/>
        <w:topLinePunct w:val="0"/>
        <w:autoSpaceDE/>
        <w:autoSpaceDN/>
        <w:bidi w:val="0"/>
        <w:adjustRightInd/>
        <w:snapToGrid/>
        <w:ind w:firstLine="640"/>
        <w:jc w:val="both"/>
        <w:textAlignment w:val="auto"/>
        <w:rPr>
          <w:rFonts w:hint="eastAsia" w:ascii="仿宋" w:hAnsi="仿宋" w:eastAsia="仿宋" w:cs="仿宋"/>
          <w:sz w:val="30"/>
          <w:szCs w:val="30"/>
        </w:rPr>
      </w:pPr>
      <w:r>
        <w:rPr>
          <w:rFonts w:hint="eastAsia" w:ascii="仿宋" w:hAnsi="仿宋" w:eastAsia="仿宋" w:cs="仿宋"/>
          <w:sz w:val="30"/>
          <w:szCs w:val="30"/>
        </w:rPr>
        <w:t>（二）开展职业理想教育</w:t>
      </w:r>
    </w:p>
    <w:p>
      <w:pPr>
        <w:pStyle w:val="8"/>
        <w:keepNext w:val="0"/>
        <w:keepLines w:val="0"/>
        <w:pageBreakBefore w:val="0"/>
        <w:widowControl w:val="0"/>
        <w:kinsoku/>
        <w:wordWrap/>
        <w:overflowPunct/>
        <w:topLinePunct w:val="0"/>
        <w:autoSpaceDE/>
        <w:autoSpaceDN/>
        <w:bidi w:val="0"/>
        <w:adjustRightInd/>
        <w:snapToGrid/>
        <w:ind w:firstLine="640"/>
        <w:jc w:val="both"/>
        <w:textAlignment w:val="auto"/>
        <w:rPr>
          <w:rFonts w:hint="eastAsia" w:ascii="仿宋" w:hAnsi="仿宋" w:eastAsia="仿宋" w:cs="仿宋"/>
          <w:sz w:val="30"/>
          <w:szCs w:val="30"/>
        </w:rPr>
      </w:pPr>
      <w:r>
        <w:rPr>
          <w:rFonts w:hint="eastAsia" w:ascii="仿宋" w:hAnsi="仿宋" w:eastAsia="仿宋" w:cs="仿宋"/>
          <w:sz w:val="30"/>
          <w:szCs w:val="30"/>
        </w:rPr>
        <w:t>开展教风建设活动月，多形式引导教师增强爱岗敬业责任感。组织系列师德理论宣讲活动，系统宣讲与国家教育政策法规文件中有关师德建设的内容，宣传普及《高校教师职业道德规范》、《员工手册》，广泛宣传“志存高远，德能日进”的校训以及优良办学传统，树立师德建设的正确导向。</w:t>
      </w:r>
    </w:p>
    <w:p>
      <w:pPr>
        <w:pStyle w:val="8"/>
        <w:keepNext w:val="0"/>
        <w:keepLines w:val="0"/>
        <w:pageBreakBefore w:val="0"/>
        <w:widowControl w:val="0"/>
        <w:kinsoku/>
        <w:wordWrap/>
        <w:overflowPunct/>
        <w:topLinePunct w:val="0"/>
        <w:autoSpaceDE/>
        <w:autoSpaceDN/>
        <w:bidi w:val="0"/>
        <w:adjustRightInd/>
        <w:snapToGrid/>
        <w:ind w:firstLine="640"/>
        <w:jc w:val="both"/>
        <w:textAlignment w:val="auto"/>
        <w:rPr>
          <w:rFonts w:hint="eastAsia" w:ascii="仿宋" w:hAnsi="仿宋" w:eastAsia="仿宋" w:cs="仿宋"/>
          <w:sz w:val="30"/>
          <w:szCs w:val="30"/>
        </w:rPr>
      </w:pPr>
      <w:r>
        <w:rPr>
          <w:rFonts w:hint="eastAsia" w:ascii="仿宋" w:hAnsi="仿宋" w:eastAsia="仿宋" w:cs="仿宋"/>
          <w:sz w:val="30"/>
          <w:szCs w:val="30"/>
        </w:rPr>
        <w:t>（三）促进师德师能提质</w:t>
      </w:r>
    </w:p>
    <w:p>
      <w:pPr>
        <w:pStyle w:val="8"/>
        <w:keepNext w:val="0"/>
        <w:keepLines w:val="0"/>
        <w:pageBreakBefore w:val="0"/>
        <w:widowControl w:val="0"/>
        <w:kinsoku/>
        <w:wordWrap/>
        <w:overflowPunct/>
        <w:topLinePunct w:val="0"/>
        <w:autoSpaceDE/>
        <w:autoSpaceDN/>
        <w:bidi w:val="0"/>
        <w:adjustRightInd/>
        <w:snapToGrid/>
        <w:ind w:firstLine="640"/>
        <w:jc w:val="both"/>
        <w:textAlignment w:val="auto"/>
        <w:rPr>
          <w:rFonts w:hint="eastAsia" w:ascii="仿宋" w:hAnsi="仿宋" w:eastAsia="仿宋" w:cs="仿宋"/>
          <w:sz w:val="30"/>
          <w:szCs w:val="30"/>
        </w:rPr>
      </w:pPr>
      <w:r>
        <w:rPr>
          <w:rFonts w:hint="eastAsia" w:ascii="仿宋" w:hAnsi="仿宋" w:eastAsia="仿宋" w:cs="仿宋"/>
          <w:sz w:val="30"/>
          <w:szCs w:val="30"/>
        </w:rPr>
        <w:t>通过座谈、讲座、分享会等形式，引导教师端师风、强师德、提师能。学习教育典型人物，用身边优秀教师的感人事迹诠释师德内涵，以师德标杆楷模为榜样，培养教师德性修养的主体意识，形成优良的教师风范，促进教师能力的全面发展，提高教师队伍的道德情操和精神追求。</w:t>
      </w:r>
    </w:p>
    <w:p>
      <w:pPr>
        <w:pStyle w:val="8"/>
        <w:keepNext w:val="0"/>
        <w:keepLines w:val="0"/>
        <w:pageBreakBefore w:val="0"/>
        <w:widowControl w:val="0"/>
        <w:kinsoku/>
        <w:wordWrap/>
        <w:overflowPunct/>
        <w:topLinePunct w:val="0"/>
        <w:autoSpaceDE/>
        <w:autoSpaceDN/>
        <w:bidi w:val="0"/>
        <w:adjustRightInd/>
        <w:snapToGrid/>
        <w:ind w:firstLine="640"/>
        <w:jc w:val="both"/>
        <w:textAlignment w:val="auto"/>
        <w:rPr>
          <w:rFonts w:hint="eastAsia" w:ascii="仿宋" w:hAnsi="仿宋" w:eastAsia="仿宋" w:cs="仿宋"/>
          <w:sz w:val="30"/>
          <w:szCs w:val="30"/>
        </w:rPr>
      </w:pPr>
      <w:r>
        <w:rPr>
          <w:rFonts w:hint="eastAsia" w:ascii="仿宋" w:hAnsi="仿宋" w:eastAsia="仿宋" w:cs="仿宋"/>
          <w:sz w:val="30"/>
          <w:szCs w:val="30"/>
        </w:rPr>
        <w:t>（四）强化职业标准规范</w:t>
      </w:r>
    </w:p>
    <w:p>
      <w:pPr>
        <w:pStyle w:val="8"/>
        <w:keepNext w:val="0"/>
        <w:keepLines w:val="0"/>
        <w:pageBreakBefore w:val="0"/>
        <w:widowControl w:val="0"/>
        <w:kinsoku/>
        <w:wordWrap/>
        <w:overflowPunct/>
        <w:topLinePunct w:val="0"/>
        <w:autoSpaceDE/>
        <w:autoSpaceDN/>
        <w:bidi w:val="0"/>
        <w:adjustRightInd/>
        <w:snapToGrid/>
        <w:ind w:firstLine="640"/>
        <w:jc w:val="both"/>
        <w:textAlignment w:val="auto"/>
        <w:rPr>
          <w:rFonts w:hint="eastAsia" w:ascii="仿宋" w:hAnsi="仿宋" w:eastAsia="仿宋" w:cs="仿宋"/>
          <w:sz w:val="30"/>
          <w:szCs w:val="30"/>
        </w:rPr>
      </w:pPr>
      <w:r>
        <w:rPr>
          <w:rFonts w:hint="eastAsia" w:ascii="仿宋" w:hAnsi="仿宋" w:eastAsia="仿宋" w:cs="仿宋"/>
          <w:sz w:val="30"/>
          <w:szCs w:val="30"/>
        </w:rPr>
        <w:t>以教育部《新时代高校教师职业行为十项准则》、“红七条”和《辽宁传媒学院教师课堂教学工作规范二十条》等职业规范，作为衡量教师行为的标准。系统学习《教育法》、《高等教育法》、《教师法》等法规文件中有关师德的要求，宣传普及《高校教师职业道德规范》。</w:t>
      </w:r>
    </w:p>
    <w:p>
      <w:pPr>
        <w:pStyle w:val="8"/>
        <w:keepNext w:val="0"/>
        <w:keepLines w:val="0"/>
        <w:pageBreakBefore w:val="0"/>
        <w:widowControl w:val="0"/>
        <w:kinsoku/>
        <w:wordWrap/>
        <w:overflowPunct/>
        <w:topLinePunct w:val="0"/>
        <w:autoSpaceDE/>
        <w:autoSpaceDN/>
        <w:bidi w:val="0"/>
        <w:adjustRightInd/>
        <w:snapToGrid/>
        <w:ind w:firstLine="640"/>
        <w:jc w:val="both"/>
        <w:textAlignment w:val="auto"/>
        <w:rPr>
          <w:rFonts w:hint="eastAsia" w:ascii="仿宋" w:hAnsi="仿宋" w:eastAsia="仿宋" w:cs="仿宋"/>
          <w:sz w:val="30"/>
          <w:szCs w:val="30"/>
        </w:rPr>
      </w:pPr>
      <w:r>
        <w:rPr>
          <w:rFonts w:hint="eastAsia" w:ascii="仿宋" w:hAnsi="仿宋" w:eastAsia="仿宋" w:cs="仿宋"/>
          <w:sz w:val="30"/>
          <w:szCs w:val="30"/>
        </w:rPr>
        <w:t>（五）建立监督考核制度</w:t>
      </w:r>
    </w:p>
    <w:p>
      <w:pPr>
        <w:pStyle w:val="8"/>
        <w:keepNext w:val="0"/>
        <w:keepLines w:val="0"/>
        <w:pageBreakBefore w:val="0"/>
        <w:widowControl w:val="0"/>
        <w:kinsoku/>
        <w:wordWrap/>
        <w:overflowPunct/>
        <w:topLinePunct w:val="0"/>
        <w:autoSpaceDE/>
        <w:autoSpaceDN/>
        <w:bidi w:val="0"/>
        <w:adjustRightInd/>
        <w:snapToGrid/>
        <w:ind w:firstLine="640"/>
        <w:jc w:val="both"/>
        <w:textAlignment w:val="auto"/>
        <w:rPr>
          <w:rFonts w:hint="eastAsia" w:ascii="仿宋" w:hAnsi="仿宋" w:eastAsia="仿宋" w:cs="仿宋"/>
          <w:sz w:val="30"/>
          <w:szCs w:val="30"/>
        </w:rPr>
      </w:pPr>
      <w:r>
        <w:rPr>
          <w:rFonts w:hint="eastAsia" w:ascii="仿宋" w:hAnsi="仿宋" w:eastAsia="仿宋" w:cs="仿宋"/>
          <w:sz w:val="30"/>
          <w:szCs w:val="30"/>
        </w:rPr>
        <w:t>修订完善相关规章制度，使全校师德师风建设走上制度化、规范化、常态化。</w:t>
      </w:r>
      <w:r>
        <w:rPr>
          <w:rFonts w:hint="eastAsia" w:ascii="仿宋" w:hAnsi="仿宋" w:eastAsia="仿宋" w:cs="仿宋"/>
          <w:sz w:val="30"/>
          <w:szCs w:val="30"/>
          <w:lang w:val="en-US" w:eastAsia="zh-CN"/>
        </w:rPr>
        <w:t>组织全体专兼职教师</w:t>
      </w:r>
      <w:r>
        <w:rPr>
          <w:rFonts w:hint="eastAsia" w:ascii="仿宋" w:hAnsi="仿宋" w:eastAsia="仿宋" w:cs="仿宋"/>
          <w:sz w:val="30"/>
          <w:szCs w:val="30"/>
        </w:rPr>
        <w:t>签订《师德师风承诺书》，接受师德师风的监督考核。推行负面清单制度，将师德表现纳入年度考核，实行一票否决制。将师德考核纳入教师教育教学、职务晋升、岗位聘用、评优奖励等各项工作中。在教师360考核中加强师德考核，</w:t>
      </w:r>
      <w:r>
        <w:rPr>
          <w:rFonts w:hint="eastAsia" w:ascii="仿宋" w:hAnsi="仿宋" w:eastAsia="仿宋" w:cs="仿宋"/>
          <w:sz w:val="30"/>
          <w:szCs w:val="30"/>
          <w:lang w:val="en-US" w:eastAsia="zh-CN"/>
        </w:rPr>
        <w:t>增加</w:t>
      </w:r>
      <w:r>
        <w:rPr>
          <w:rFonts w:hint="eastAsia" w:ascii="仿宋" w:hAnsi="仿宋" w:eastAsia="仿宋" w:cs="仿宋"/>
          <w:sz w:val="30"/>
          <w:szCs w:val="30"/>
        </w:rPr>
        <w:t>教师师德述职环节。在新教师选聘、试用、转正和续聘中，把教师责任心、教书育人作为重要参考，坚持职业素质和品德修养综合考核，把政治素质、道德修养、品行表现作为重要考察内容，确保选聘教师政治方向正确、道德品质优秀、业务素质精良。学校将每位教师师德教育、受表彰或奖惩等表现情况记入教师工作业绩，作为师德考核的重要依据。各学院开展的相关活动要及时备案存档。通过建立师德信息平台、组织召开专题座谈会、定期开展专项检查等方式，搭建沟通交流平台，及时掌握师德建设动态，及时纠正不良倾向和发现的问题。认真贯彻落实《教育部关于严肃处理高等学校学术不端行为的通知》和《辽宁传媒学院学术道德行为规范及学术不端行为处理规定》等文件精神，引导全校教师秉持学术良知，恪守学术道德，维护学术尊严，坚决抵制学术失范和学术不端行为。</w:t>
      </w:r>
    </w:p>
    <w:p>
      <w:pPr>
        <w:pStyle w:val="8"/>
        <w:keepNext w:val="0"/>
        <w:keepLines w:val="0"/>
        <w:pageBreakBefore w:val="0"/>
        <w:widowControl w:val="0"/>
        <w:kinsoku/>
        <w:wordWrap/>
        <w:overflowPunct/>
        <w:topLinePunct w:val="0"/>
        <w:autoSpaceDE/>
        <w:autoSpaceDN/>
        <w:bidi w:val="0"/>
        <w:adjustRightInd/>
        <w:snapToGrid/>
        <w:ind w:firstLine="640"/>
        <w:jc w:val="both"/>
        <w:textAlignment w:val="auto"/>
        <w:rPr>
          <w:rFonts w:hint="eastAsia" w:ascii="仿宋" w:hAnsi="仿宋" w:eastAsia="仿宋" w:cs="仿宋"/>
          <w:sz w:val="30"/>
          <w:szCs w:val="30"/>
        </w:rPr>
      </w:pPr>
      <w:r>
        <w:rPr>
          <w:rFonts w:hint="eastAsia" w:ascii="仿宋" w:hAnsi="仿宋" w:eastAsia="仿宋" w:cs="仿宋"/>
          <w:sz w:val="30"/>
          <w:szCs w:val="30"/>
        </w:rPr>
        <w:t>（六）选树师德先进典型</w:t>
      </w:r>
    </w:p>
    <w:p>
      <w:pPr>
        <w:pStyle w:val="8"/>
        <w:keepNext w:val="0"/>
        <w:keepLines w:val="0"/>
        <w:pageBreakBefore w:val="0"/>
        <w:widowControl w:val="0"/>
        <w:kinsoku/>
        <w:wordWrap/>
        <w:overflowPunct/>
        <w:topLinePunct w:val="0"/>
        <w:autoSpaceDE/>
        <w:autoSpaceDN/>
        <w:bidi w:val="0"/>
        <w:adjustRightInd/>
        <w:snapToGrid/>
        <w:ind w:firstLine="640"/>
        <w:jc w:val="both"/>
        <w:textAlignment w:val="auto"/>
        <w:rPr>
          <w:rFonts w:hint="eastAsia" w:ascii="仿宋" w:hAnsi="仿宋" w:eastAsia="仿宋" w:cs="仿宋"/>
          <w:sz w:val="30"/>
          <w:szCs w:val="30"/>
        </w:rPr>
      </w:pPr>
      <w:r>
        <w:rPr>
          <w:rFonts w:hint="eastAsia" w:ascii="仿宋" w:hAnsi="仿宋" w:eastAsia="仿宋" w:cs="仿宋"/>
          <w:sz w:val="30"/>
          <w:szCs w:val="30"/>
        </w:rPr>
        <w:t>选树先进典型，宣传先进事迹，诠释师德内涵，展示师德风范。培育和宣传师德典型，坚持开展“</w:t>
      </w:r>
      <w:r>
        <w:rPr>
          <w:rFonts w:hint="eastAsia" w:ascii="仿宋" w:hAnsi="仿宋" w:eastAsia="仿宋" w:cs="仿宋"/>
          <w:sz w:val="30"/>
          <w:szCs w:val="30"/>
          <w:lang w:val="en-US" w:eastAsia="zh-CN"/>
        </w:rPr>
        <w:t>育人先进个人</w:t>
      </w:r>
      <w:r>
        <w:rPr>
          <w:rFonts w:hint="eastAsia" w:ascii="仿宋" w:hAnsi="仿宋" w:eastAsia="仿宋" w:cs="仿宋"/>
          <w:sz w:val="30"/>
          <w:szCs w:val="30"/>
        </w:rPr>
        <w:t>”等评选活动，树立师德示范典型，组织师德建设经验交流会，展现师德示范典型的良好师德师风，为学校师德建设工作提供正能量，激励全校教师自觉遵守教师职业道德，争当师德建设先进典型。营造师德建设文化氛围，宣传师德榜样事迹，警示师德失范行为，积极营造崇尚师德风范、争创师德典型的文化氛围。拓展师德宣传媒介，拓展学校广播电台、网络平台等媒体在师德宣传方面的功能，构建师德宣传、学习、交流的综合性平台。</w:t>
      </w:r>
    </w:p>
    <w:p>
      <w:pPr>
        <w:pStyle w:val="8"/>
        <w:keepNext w:val="0"/>
        <w:keepLines w:val="0"/>
        <w:pageBreakBefore w:val="0"/>
        <w:widowControl w:val="0"/>
        <w:kinsoku/>
        <w:wordWrap/>
        <w:overflowPunct/>
        <w:topLinePunct w:val="0"/>
        <w:autoSpaceDE/>
        <w:autoSpaceDN/>
        <w:bidi w:val="0"/>
        <w:adjustRightInd/>
        <w:snapToGrid/>
        <w:ind w:firstLine="640"/>
        <w:jc w:val="both"/>
        <w:textAlignment w:val="auto"/>
        <w:rPr>
          <w:rFonts w:hint="eastAsia" w:ascii="仿宋" w:hAnsi="仿宋" w:eastAsia="仿宋" w:cs="仿宋"/>
          <w:sz w:val="30"/>
          <w:szCs w:val="30"/>
        </w:rPr>
      </w:pPr>
      <w:r>
        <w:rPr>
          <w:rFonts w:hint="eastAsia" w:ascii="仿宋" w:hAnsi="仿宋" w:eastAsia="仿宋" w:cs="仿宋"/>
          <w:sz w:val="30"/>
          <w:szCs w:val="30"/>
        </w:rPr>
        <w:t>（七）拓展师德监督渠道</w:t>
      </w:r>
    </w:p>
    <w:p>
      <w:pPr>
        <w:pStyle w:val="8"/>
        <w:keepNext w:val="0"/>
        <w:keepLines w:val="0"/>
        <w:pageBreakBefore w:val="0"/>
        <w:widowControl w:val="0"/>
        <w:kinsoku/>
        <w:wordWrap/>
        <w:overflowPunct/>
        <w:topLinePunct w:val="0"/>
        <w:autoSpaceDE/>
        <w:autoSpaceDN/>
        <w:bidi w:val="0"/>
        <w:adjustRightInd/>
        <w:snapToGrid/>
        <w:ind w:firstLine="640"/>
        <w:jc w:val="both"/>
        <w:textAlignment w:val="auto"/>
        <w:rPr>
          <w:rFonts w:hint="eastAsia" w:ascii="仿宋" w:hAnsi="仿宋" w:eastAsia="仿宋" w:cs="仿宋"/>
          <w:sz w:val="30"/>
          <w:szCs w:val="30"/>
        </w:rPr>
      </w:pPr>
      <w:r>
        <w:rPr>
          <w:rFonts w:hint="eastAsia" w:ascii="仿宋" w:hAnsi="仿宋" w:eastAsia="仿宋" w:cs="仿宋"/>
          <w:sz w:val="30"/>
          <w:szCs w:val="30"/>
        </w:rPr>
        <w:t>构建多方参与的师德监督体系，充分发挥各方的监督警戒作用。健全举报受理机制，及时掌握师德信息动态。加大督查督办力度，构建学校、教师、学生、家长和社会多方参与的师德监督体系。不断完善教师同行听课制度、教学督导制度、学生评教制度、社会监督制度，构建校内外各界广泛参与的师德监督体系。</w:t>
      </w:r>
    </w:p>
    <w:p>
      <w:pPr>
        <w:pStyle w:val="8"/>
        <w:keepNext w:val="0"/>
        <w:keepLines w:val="0"/>
        <w:pageBreakBefore w:val="0"/>
        <w:widowControl w:val="0"/>
        <w:kinsoku/>
        <w:wordWrap/>
        <w:overflowPunct/>
        <w:topLinePunct w:val="0"/>
        <w:autoSpaceDE/>
        <w:autoSpaceDN/>
        <w:bidi w:val="0"/>
        <w:adjustRightInd/>
        <w:snapToGrid/>
        <w:ind w:firstLine="640"/>
        <w:jc w:val="both"/>
        <w:textAlignment w:val="auto"/>
        <w:rPr>
          <w:rFonts w:hint="eastAsia" w:ascii="仿宋" w:hAnsi="仿宋" w:eastAsia="仿宋" w:cs="仿宋"/>
          <w:sz w:val="30"/>
          <w:szCs w:val="30"/>
        </w:rPr>
      </w:pPr>
      <w:r>
        <w:rPr>
          <w:rFonts w:hint="eastAsia" w:ascii="仿宋" w:hAnsi="仿宋" w:eastAsia="仿宋" w:cs="仿宋"/>
          <w:sz w:val="30"/>
          <w:szCs w:val="30"/>
        </w:rPr>
        <w:t>（八）实施师德失范惩处</w:t>
      </w:r>
    </w:p>
    <w:p>
      <w:pPr>
        <w:pStyle w:val="8"/>
        <w:keepNext w:val="0"/>
        <w:keepLines w:val="0"/>
        <w:pageBreakBefore w:val="0"/>
        <w:widowControl w:val="0"/>
        <w:kinsoku/>
        <w:wordWrap/>
        <w:overflowPunct/>
        <w:topLinePunct w:val="0"/>
        <w:autoSpaceDE/>
        <w:autoSpaceDN/>
        <w:bidi w:val="0"/>
        <w:adjustRightInd/>
        <w:snapToGrid/>
        <w:ind w:firstLine="640"/>
        <w:jc w:val="both"/>
        <w:textAlignment w:val="auto"/>
        <w:rPr>
          <w:rFonts w:hint="eastAsia" w:ascii="仿宋" w:hAnsi="仿宋" w:eastAsia="仿宋" w:cs="仿宋"/>
          <w:sz w:val="30"/>
          <w:szCs w:val="30"/>
        </w:rPr>
      </w:pPr>
      <w:r>
        <w:rPr>
          <w:rFonts w:hint="eastAsia" w:ascii="仿宋" w:hAnsi="仿宋" w:eastAsia="仿宋" w:cs="仿宋"/>
          <w:sz w:val="30"/>
          <w:szCs w:val="30"/>
        </w:rPr>
        <w:t>将师德表现作为推荐评选的首要条件。在同等条件下，在教师选聘、职务晋升、评优奖励，以及骨干教师选拔培育和各类项目申报推荐等工作中，对师德考核优秀人员予以优先。建立健全教师违反师德行为的惩处机制，对有下列情形之一者，学校按照相关规定给予处分。</w:t>
      </w:r>
    </w:p>
    <w:p>
      <w:pPr>
        <w:pStyle w:val="8"/>
        <w:keepNext w:val="0"/>
        <w:keepLines w:val="0"/>
        <w:pageBreakBefore w:val="0"/>
        <w:widowControl w:val="0"/>
        <w:kinsoku/>
        <w:wordWrap/>
        <w:overflowPunct/>
        <w:topLinePunct w:val="0"/>
        <w:autoSpaceDE/>
        <w:autoSpaceDN/>
        <w:bidi w:val="0"/>
        <w:adjustRightInd/>
        <w:snapToGrid/>
        <w:ind w:firstLine="640"/>
        <w:jc w:val="both"/>
        <w:textAlignment w:val="auto"/>
        <w:rPr>
          <w:rFonts w:hint="eastAsia" w:ascii="仿宋" w:hAnsi="仿宋" w:eastAsia="仿宋" w:cs="仿宋"/>
          <w:sz w:val="30"/>
          <w:szCs w:val="30"/>
        </w:rPr>
      </w:pPr>
      <w:r>
        <w:rPr>
          <w:rFonts w:hint="eastAsia" w:ascii="仿宋" w:hAnsi="仿宋" w:eastAsia="仿宋" w:cs="仿宋"/>
          <w:sz w:val="30"/>
          <w:szCs w:val="30"/>
        </w:rPr>
        <w:t>1.损害国家和学校利益、侵犯学生合法权益的行为；</w:t>
      </w:r>
    </w:p>
    <w:p>
      <w:pPr>
        <w:pStyle w:val="8"/>
        <w:keepNext w:val="0"/>
        <w:keepLines w:val="0"/>
        <w:pageBreakBefore w:val="0"/>
        <w:widowControl w:val="0"/>
        <w:kinsoku/>
        <w:wordWrap/>
        <w:overflowPunct/>
        <w:topLinePunct w:val="0"/>
        <w:autoSpaceDE/>
        <w:autoSpaceDN/>
        <w:bidi w:val="0"/>
        <w:adjustRightInd/>
        <w:snapToGrid/>
        <w:ind w:firstLine="640"/>
        <w:jc w:val="both"/>
        <w:textAlignment w:val="auto"/>
        <w:rPr>
          <w:rFonts w:hint="eastAsia" w:ascii="仿宋" w:hAnsi="仿宋" w:eastAsia="仿宋" w:cs="仿宋"/>
          <w:sz w:val="30"/>
          <w:szCs w:val="30"/>
        </w:rPr>
      </w:pPr>
      <w:r>
        <w:rPr>
          <w:rFonts w:hint="eastAsia" w:ascii="仿宋" w:hAnsi="仿宋" w:eastAsia="仿宋" w:cs="仿宋"/>
          <w:sz w:val="30"/>
          <w:szCs w:val="30"/>
        </w:rPr>
        <w:t>2.在教育教学活动中有违背党的路线方针政策的言行；</w:t>
      </w:r>
    </w:p>
    <w:p>
      <w:pPr>
        <w:pStyle w:val="8"/>
        <w:keepNext w:val="0"/>
        <w:keepLines w:val="0"/>
        <w:pageBreakBefore w:val="0"/>
        <w:widowControl w:val="0"/>
        <w:kinsoku/>
        <w:wordWrap/>
        <w:overflowPunct/>
        <w:topLinePunct w:val="0"/>
        <w:autoSpaceDE/>
        <w:autoSpaceDN/>
        <w:bidi w:val="0"/>
        <w:adjustRightInd/>
        <w:snapToGrid/>
        <w:ind w:firstLine="640"/>
        <w:jc w:val="both"/>
        <w:textAlignment w:val="auto"/>
        <w:rPr>
          <w:rFonts w:hint="eastAsia" w:ascii="仿宋" w:hAnsi="仿宋" w:eastAsia="仿宋" w:cs="仿宋"/>
          <w:sz w:val="30"/>
          <w:szCs w:val="30"/>
        </w:rPr>
      </w:pPr>
      <w:r>
        <w:rPr>
          <w:rFonts w:hint="eastAsia" w:ascii="仿宋" w:hAnsi="仿宋" w:eastAsia="仿宋" w:cs="仿宋"/>
          <w:sz w:val="30"/>
          <w:szCs w:val="30"/>
        </w:rPr>
        <w:t>3.在教学科研工作中弄虚作假、抄袭剽窃、篡改侵吞他人教学科研成果、违规使用教学科研经费和滥用教学科研资源；</w:t>
      </w:r>
    </w:p>
    <w:p>
      <w:pPr>
        <w:pStyle w:val="8"/>
        <w:keepNext w:val="0"/>
        <w:keepLines w:val="0"/>
        <w:pageBreakBefore w:val="0"/>
        <w:widowControl w:val="0"/>
        <w:kinsoku/>
        <w:wordWrap/>
        <w:overflowPunct/>
        <w:topLinePunct w:val="0"/>
        <w:autoSpaceDE/>
        <w:autoSpaceDN/>
        <w:bidi w:val="0"/>
        <w:adjustRightInd/>
        <w:snapToGrid/>
        <w:ind w:firstLine="640"/>
        <w:jc w:val="both"/>
        <w:textAlignment w:val="auto"/>
        <w:rPr>
          <w:rFonts w:hint="eastAsia" w:ascii="仿宋" w:hAnsi="仿宋" w:eastAsia="仿宋" w:cs="仿宋"/>
          <w:sz w:val="30"/>
          <w:szCs w:val="30"/>
        </w:rPr>
      </w:pPr>
      <w:r>
        <w:rPr>
          <w:rFonts w:hint="eastAsia" w:ascii="仿宋" w:hAnsi="仿宋" w:eastAsia="仿宋" w:cs="仿宋"/>
          <w:sz w:val="30"/>
          <w:szCs w:val="30"/>
        </w:rPr>
        <w:t>4.在申报职称、岗位、项目、荣誉等过程中弄虚作假；</w:t>
      </w:r>
    </w:p>
    <w:p>
      <w:pPr>
        <w:pStyle w:val="8"/>
        <w:keepNext w:val="0"/>
        <w:keepLines w:val="0"/>
        <w:pageBreakBefore w:val="0"/>
        <w:widowControl w:val="0"/>
        <w:kinsoku/>
        <w:wordWrap/>
        <w:overflowPunct/>
        <w:topLinePunct w:val="0"/>
        <w:autoSpaceDE/>
        <w:autoSpaceDN/>
        <w:bidi w:val="0"/>
        <w:adjustRightInd/>
        <w:snapToGrid/>
        <w:ind w:firstLine="640"/>
        <w:jc w:val="both"/>
        <w:textAlignment w:val="auto"/>
        <w:rPr>
          <w:rFonts w:hint="eastAsia" w:ascii="仿宋" w:hAnsi="仿宋" w:eastAsia="仿宋" w:cs="仿宋"/>
          <w:sz w:val="30"/>
          <w:szCs w:val="30"/>
        </w:rPr>
      </w:pPr>
      <w:r>
        <w:rPr>
          <w:rFonts w:hint="eastAsia" w:ascii="仿宋" w:hAnsi="仿宋" w:eastAsia="仿宋" w:cs="仿宋"/>
          <w:sz w:val="30"/>
          <w:szCs w:val="30"/>
        </w:rPr>
        <w:t>5.存在兼职兼薪行为；</w:t>
      </w:r>
    </w:p>
    <w:p>
      <w:pPr>
        <w:pStyle w:val="8"/>
        <w:keepNext w:val="0"/>
        <w:keepLines w:val="0"/>
        <w:pageBreakBefore w:val="0"/>
        <w:widowControl w:val="0"/>
        <w:kinsoku/>
        <w:wordWrap/>
        <w:overflowPunct/>
        <w:topLinePunct w:val="0"/>
        <w:autoSpaceDE/>
        <w:autoSpaceDN/>
        <w:bidi w:val="0"/>
        <w:adjustRightInd/>
        <w:snapToGrid/>
        <w:ind w:firstLine="640"/>
        <w:jc w:val="both"/>
        <w:textAlignment w:val="auto"/>
        <w:rPr>
          <w:rFonts w:hint="eastAsia" w:ascii="仿宋" w:hAnsi="仿宋" w:eastAsia="仿宋" w:cs="仿宋"/>
          <w:sz w:val="30"/>
          <w:szCs w:val="30"/>
        </w:rPr>
      </w:pPr>
      <w:r>
        <w:rPr>
          <w:rFonts w:hint="eastAsia" w:ascii="仿宋" w:hAnsi="仿宋" w:eastAsia="仿宋" w:cs="仿宋"/>
          <w:sz w:val="30"/>
          <w:szCs w:val="30"/>
        </w:rPr>
        <w:t>6.在招生、考试、推荐就业、学生评优等工作中徇私舞弊；</w:t>
      </w:r>
    </w:p>
    <w:p>
      <w:pPr>
        <w:pStyle w:val="8"/>
        <w:keepNext w:val="0"/>
        <w:keepLines w:val="0"/>
        <w:pageBreakBefore w:val="0"/>
        <w:widowControl w:val="0"/>
        <w:kinsoku/>
        <w:wordWrap/>
        <w:overflowPunct/>
        <w:topLinePunct w:val="0"/>
        <w:autoSpaceDE/>
        <w:autoSpaceDN/>
        <w:bidi w:val="0"/>
        <w:adjustRightInd/>
        <w:snapToGrid/>
        <w:ind w:firstLine="640"/>
        <w:jc w:val="both"/>
        <w:textAlignment w:val="auto"/>
        <w:rPr>
          <w:rFonts w:hint="eastAsia" w:ascii="仿宋" w:hAnsi="仿宋" w:eastAsia="仿宋" w:cs="仿宋"/>
          <w:sz w:val="30"/>
          <w:szCs w:val="30"/>
        </w:rPr>
      </w:pPr>
      <w:r>
        <w:rPr>
          <w:rFonts w:hint="eastAsia" w:ascii="仿宋" w:hAnsi="仿宋" w:eastAsia="仿宋" w:cs="仿宋"/>
          <w:sz w:val="30"/>
          <w:szCs w:val="30"/>
        </w:rPr>
        <w:t>7.索要或收受学生或家长的礼品、礼金、有价证券、支付凭证等财物；</w:t>
      </w:r>
    </w:p>
    <w:p>
      <w:pPr>
        <w:pStyle w:val="8"/>
        <w:keepNext w:val="0"/>
        <w:keepLines w:val="0"/>
        <w:pageBreakBefore w:val="0"/>
        <w:widowControl w:val="0"/>
        <w:kinsoku/>
        <w:wordWrap/>
        <w:overflowPunct/>
        <w:topLinePunct w:val="0"/>
        <w:autoSpaceDE/>
        <w:autoSpaceDN/>
        <w:bidi w:val="0"/>
        <w:adjustRightInd/>
        <w:snapToGrid/>
        <w:ind w:firstLine="640"/>
        <w:jc w:val="both"/>
        <w:textAlignment w:val="auto"/>
        <w:rPr>
          <w:rFonts w:hint="eastAsia" w:ascii="仿宋" w:hAnsi="仿宋" w:eastAsia="仿宋" w:cs="仿宋"/>
          <w:sz w:val="30"/>
          <w:szCs w:val="30"/>
        </w:rPr>
      </w:pPr>
      <w:r>
        <w:rPr>
          <w:rFonts w:hint="eastAsia" w:ascii="仿宋" w:hAnsi="仿宋" w:eastAsia="仿宋" w:cs="仿宋"/>
          <w:sz w:val="30"/>
          <w:szCs w:val="30"/>
        </w:rPr>
        <w:t>8.公共道德有严重失范行为，造成恶劣社会影响；</w:t>
      </w:r>
    </w:p>
    <w:p>
      <w:pPr>
        <w:pStyle w:val="8"/>
        <w:keepNext w:val="0"/>
        <w:keepLines w:val="0"/>
        <w:pageBreakBefore w:val="0"/>
        <w:widowControl w:val="0"/>
        <w:kinsoku/>
        <w:wordWrap/>
        <w:overflowPunct/>
        <w:topLinePunct w:val="0"/>
        <w:autoSpaceDE/>
        <w:autoSpaceDN/>
        <w:bidi w:val="0"/>
        <w:adjustRightInd/>
        <w:snapToGrid/>
        <w:ind w:firstLine="640"/>
        <w:jc w:val="both"/>
        <w:textAlignment w:val="auto"/>
        <w:rPr>
          <w:rFonts w:hint="eastAsia" w:ascii="仿宋" w:hAnsi="仿宋" w:eastAsia="仿宋" w:cs="仿宋"/>
          <w:sz w:val="30"/>
          <w:szCs w:val="30"/>
        </w:rPr>
      </w:pPr>
      <w:r>
        <w:rPr>
          <w:rFonts w:hint="eastAsia" w:ascii="仿宋" w:hAnsi="仿宋" w:eastAsia="仿宋" w:cs="仿宋"/>
          <w:sz w:val="30"/>
          <w:szCs w:val="30"/>
        </w:rPr>
        <w:t>9.工作态度恶劣，造成不良社会影响；</w:t>
      </w:r>
    </w:p>
    <w:p>
      <w:pPr>
        <w:pStyle w:val="8"/>
        <w:keepNext w:val="0"/>
        <w:keepLines w:val="0"/>
        <w:pageBreakBefore w:val="0"/>
        <w:widowControl w:val="0"/>
        <w:kinsoku/>
        <w:wordWrap/>
        <w:overflowPunct/>
        <w:topLinePunct w:val="0"/>
        <w:autoSpaceDE/>
        <w:autoSpaceDN/>
        <w:bidi w:val="0"/>
        <w:adjustRightInd/>
        <w:snapToGrid/>
        <w:ind w:firstLine="640"/>
        <w:jc w:val="both"/>
        <w:textAlignment w:val="auto"/>
        <w:rPr>
          <w:rFonts w:hint="eastAsia" w:ascii="仿宋" w:hAnsi="仿宋" w:eastAsia="仿宋" w:cs="仿宋"/>
          <w:sz w:val="30"/>
          <w:szCs w:val="30"/>
        </w:rPr>
      </w:pPr>
      <w:r>
        <w:rPr>
          <w:rFonts w:hint="eastAsia" w:ascii="仿宋" w:hAnsi="仿宋" w:eastAsia="仿宋" w:cs="仿宋"/>
          <w:sz w:val="30"/>
          <w:szCs w:val="30"/>
        </w:rPr>
        <w:t>10.生活作风严重腐化；</w:t>
      </w:r>
    </w:p>
    <w:p>
      <w:pPr>
        <w:pStyle w:val="8"/>
        <w:keepNext w:val="0"/>
        <w:keepLines w:val="0"/>
        <w:pageBreakBefore w:val="0"/>
        <w:widowControl w:val="0"/>
        <w:kinsoku/>
        <w:wordWrap/>
        <w:overflowPunct/>
        <w:topLinePunct w:val="0"/>
        <w:autoSpaceDE/>
        <w:autoSpaceDN/>
        <w:bidi w:val="0"/>
        <w:adjustRightInd/>
        <w:snapToGrid/>
        <w:ind w:firstLine="640"/>
        <w:jc w:val="both"/>
        <w:textAlignment w:val="auto"/>
        <w:rPr>
          <w:rFonts w:hint="eastAsia" w:ascii="仿宋" w:hAnsi="仿宋" w:eastAsia="仿宋" w:cs="仿宋"/>
          <w:sz w:val="30"/>
          <w:szCs w:val="30"/>
        </w:rPr>
      </w:pPr>
      <w:r>
        <w:rPr>
          <w:rFonts w:hint="eastAsia" w:ascii="仿宋" w:hAnsi="仿宋" w:eastAsia="仿宋" w:cs="仿宋"/>
          <w:sz w:val="30"/>
          <w:szCs w:val="30"/>
        </w:rPr>
        <w:t>11.与学生交往超出正常师生关系范畴；</w:t>
      </w:r>
    </w:p>
    <w:p>
      <w:pPr>
        <w:pStyle w:val="8"/>
        <w:keepNext w:val="0"/>
        <w:keepLines w:val="0"/>
        <w:pageBreakBefore w:val="0"/>
        <w:widowControl w:val="0"/>
        <w:kinsoku/>
        <w:wordWrap/>
        <w:overflowPunct/>
        <w:topLinePunct w:val="0"/>
        <w:autoSpaceDE/>
        <w:autoSpaceDN/>
        <w:bidi w:val="0"/>
        <w:adjustRightInd/>
        <w:snapToGrid/>
        <w:ind w:firstLine="640"/>
        <w:jc w:val="both"/>
        <w:textAlignment w:val="auto"/>
        <w:rPr>
          <w:rFonts w:hint="eastAsia" w:ascii="仿宋" w:hAnsi="仿宋" w:eastAsia="仿宋" w:cs="仿宋"/>
          <w:sz w:val="30"/>
          <w:szCs w:val="30"/>
        </w:rPr>
      </w:pPr>
      <w:r>
        <w:rPr>
          <w:rFonts w:hint="eastAsia" w:ascii="仿宋" w:hAnsi="仿宋" w:eastAsia="仿宋" w:cs="仿宋"/>
          <w:sz w:val="30"/>
          <w:szCs w:val="30"/>
        </w:rPr>
        <w:t>12.其他违反政治纪律、工作纪律、廉洁从教纪律和高校教师职业道德的行为。</w:t>
      </w:r>
    </w:p>
    <w:p>
      <w:pPr>
        <w:pStyle w:val="8"/>
        <w:keepNext w:val="0"/>
        <w:keepLines w:val="0"/>
        <w:pageBreakBefore w:val="0"/>
        <w:widowControl w:val="0"/>
        <w:kinsoku/>
        <w:wordWrap/>
        <w:overflowPunct/>
        <w:topLinePunct w:val="0"/>
        <w:autoSpaceDE/>
        <w:autoSpaceDN/>
        <w:bidi w:val="0"/>
        <w:adjustRightInd/>
        <w:snapToGrid/>
        <w:ind w:firstLine="640"/>
        <w:jc w:val="both"/>
        <w:textAlignment w:val="auto"/>
        <w:rPr>
          <w:rFonts w:hint="eastAsia" w:ascii="仿宋" w:hAnsi="仿宋" w:eastAsia="仿宋" w:cs="仿宋"/>
          <w:sz w:val="30"/>
          <w:szCs w:val="30"/>
        </w:rPr>
      </w:pPr>
      <w:r>
        <w:rPr>
          <w:rFonts w:hint="eastAsia" w:ascii="仿宋" w:hAnsi="仿宋" w:eastAsia="仿宋" w:cs="仿宋"/>
          <w:sz w:val="30"/>
          <w:szCs w:val="30"/>
        </w:rPr>
        <w:t>师德考核不合格人员，年度考核和聘期考核结果评定为不合格，并在两年内教师选聘、职务晋升、岗位聘用、评优奖励，以及各类项目申报推荐等工作中取消资格，严格实行一票否决。建立</w:t>
      </w:r>
      <w:r>
        <w:rPr>
          <w:rFonts w:hint="eastAsia" w:ascii="仿宋" w:hAnsi="仿宋" w:eastAsia="仿宋" w:cs="仿宋"/>
          <w:sz w:val="30"/>
          <w:szCs w:val="30"/>
          <w:lang w:val="en-US" w:eastAsia="zh-CN"/>
        </w:rPr>
        <w:t>部门</w:t>
      </w:r>
      <w:r>
        <w:rPr>
          <w:rFonts w:hint="eastAsia" w:ascii="仿宋" w:hAnsi="仿宋" w:eastAsia="仿宋" w:cs="仿宋"/>
          <w:sz w:val="30"/>
          <w:szCs w:val="30"/>
        </w:rPr>
        <w:t>负责人问责机制，对教师严重违反师德行为监管不力、拒不查处、拖延处分或推诿隐瞒，造成不良影响或严重后果的单位，学校将追究该</w:t>
      </w:r>
      <w:r>
        <w:rPr>
          <w:rFonts w:hint="eastAsia" w:ascii="仿宋" w:hAnsi="仿宋" w:eastAsia="仿宋" w:cs="仿宋"/>
          <w:sz w:val="30"/>
          <w:szCs w:val="30"/>
          <w:lang w:val="en-US" w:eastAsia="zh-CN"/>
        </w:rPr>
        <w:t>部门</w:t>
      </w:r>
      <w:r>
        <w:rPr>
          <w:rFonts w:hint="eastAsia" w:ascii="仿宋" w:hAnsi="仿宋" w:eastAsia="仿宋" w:cs="仿宋"/>
          <w:sz w:val="30"/>
          <w:szCs w:val="30"/>
        </w:rPr>
        <w:t>主要负责人的责任。</w:t>
      </w:r>
    </w:p>
    <w:p>
      <w:pPr>
        <w:pStyle w:val="8"/>
        <w:numPr>
          <w:ilvl w:val="0"/>
          <w:numId w:val="1"/>
        </w:numPr>
        <w:ind w:firstLineChars="0"/>
        <w:jc w:val="left"/>
        <w:rPr>
          <w:rFonts w:hint="eastAsia" w:ascii="黑体" w:hAnsi="黑体" w:eastAsia="黑体" w:cs="黑体"/>
          <w:b/>
          <w:sz w:val="30"/>
          <w:szCs w:val="30"/>
        </w:rPr>
      </w:pPr>
      <w:r>
        <w:rPr>
          <w:rFonts w:hint="eastAsia" w:ascii="黑体" w:hAnsi="黑体" w:eastAsia="黑体" w:cs="黑体"/>
          <w:b/>
          <w:sz w:val="30"/>
          <w:szCs w:val="30"/>
        </w:rPr>
        <w:t>组织保障</w:t>
      </w:r>
    </w:p>
    <w:p>
      <w:pPr>
        <w:pStyle w:val="8"/>
        <w:keepNext w:val="0"/>
        <w:keepLines w:val="0"/>
        <w:pageBreakBefore w:val="0"/>
        <w:widowControl w:val="0"/>
        <w:kinsoku/>
        <w:wordWrap/>
        <w:overflowPunct/>
        <w:topLinePunct w:val="0"/>
        <w:autoSpaceDE/>
        <w:autoSpaceDN/>
        <w:bidi w:val="0"/>
        <w:adjustRightInd/>
        <w:snapToGrid/>
        <w:ind w:firstLine="640"/>
        <w:jc w:val="both"/>
        <w:textAlignment w:val="auto"/>
        <w:rPr>
          <w:rFonts w:hint="eastAsia" w:ascii="黑体" w:hAnsi="黑体" w:eastAsia="黑体" w:cs="黑体"/>
          <w:b/>
          <w:sz w:val="30"/>
          <w:szCs w:val="30"/>
          <w:lang w:val="en-US" w:eastAsia="zh-CN"/>
        </w:rPr>
      </w:pPr>
      <w:r>
        <w:rPr>
          <w:rFonts w:hint="eastAsia" w:ascii="仿宋" w:hAnsi="仿宋" w:eastAsia="仿宋" w:cs="仿宋"/>
          <w:sz w:val="30"/>
          <w:szCs w:val="30"/>
        </w:rPr>
        <w:t>全校各级党政领导要高度重视师德建设工作，主要领导亲自抓，切实负起责任；</w:t>
      </w:r>
      <w:r>
        <w:rPr>
          <w:rFonts w:hint="eastAsia" w:ascii="仿宋" w:hAnsi="仿宋" w:eastAsia="仿宋" w:cs="仿宋"/>
          <w:sz w:val="30"/>
          <w:szCs w:val="30"/>
          <w:lang w:val="en-US" w:eastAsia="zh-CN"/>
        </w:rPr>
        <w:t>系部</w:t>
      </w:r>
      <w:r>
        <w:rPr>
          <w:rFonts w:hint="eastAsia" w:ascii="仿宋" w:hAnsi="仿宋" w:eastAsia="仿宋" w:cs="仿宋"/>
          <w:sz w:val="30"/>
          <w:szCs w:val="30"/>
        </w:rPr>
        <w:t>负责人要在师德建设中起到模范带头作用，引导全体教师做到教书育人；非教师系列的工作人员要自觉遵守教师职业道德规范，树立育人为本的理念，做到管理育人、服务育人。各学院和有关职能部门要根据年度师德建设工作方案的相关要求，将师德建设工作纳入单位整体工作中，学校定期开展专项工作检查，督促落实师德建设工作。学校将师德建设工作成效作为对各学院和有关职能部门工作绩效考核的重要内容，并作为对相关单位领导班子成员和主要负责人考核评价的重要依据。</w:t>
      </w:r>
    </w:p>
    <w:p>
      <w:pPr>
        <w:pStyle w:val="8"/>
        <w:numPr>
          <w:ilvl w:val="0"/>
          <w:numId w:val="0"/>
        </w:numPr>
        <w:ind w:leftChars="0"/>
        <w:jc w:val="left"/>
        <w:rPr>
          <w:rFonts w:hint="eastAsia" w:ascii="黑体" w:hAnsi="黑体" w:eastAsia="黑体" w:cs="黑体"/>
          <w:b/>
          <w:sz w:val="30"/>
          <w:szCs w:val="30"/>
          <w:lang w:val="en-US" w:eastAsia="zh-CN"/>
        </w:rPr>
      </w:pPr>
    </w:p>
    <w:p>
      <w:pPr>
        <w:pStyle w:val="8"/>
        <w:numPr>
          <w:ilvl w:val="0"/>
          <w:numId w:val="0"/>
        </w:numPr>
        <w:ind w:leftChars="0"/>
        <w:jc w:val="left"/>
        <w:rPr>
          <w:rFonts w:hint="eastAsia" w:ascii="黑体" w:hAnsi="黑体" w:eastAsia="黑体" w:cs="黑体"/>
          <w:b/>
          <w:sz w:val="30"/>
          <w:szCs w:val="30"/>
          <w:lang w:val="en-US" w:eastAsia="zh-CN"/>
        </w:rPr>
      </w:pPr>
    </w:p>
    <w:p>
      <w:pPr>
        <w:pStyle w:val="8"/>
        <w:numPr>
          <w:ilvl w:val="0"/>
          <w:numId w:val="0"/>
        </w:numPr>
        <w:ind w:leftChars="0"/>
        <w:jc w:val="left"/>
        <w:rPr>
          <w:rFonts w:hint="eastAsia" w:ascii="黑体" w:hAnsi="黑体" w:eastAsia="黑体" w:cs="黑体"/>
          <w:b/>
          <w:sz w:val="30"/>
          <w:szCs w:val="30"/>
          <w:lang w:val="en-US" w:eastAsia="zh-CN"/>
        </w:rPr>
      </w:pPr>
    </w:p>
    <w:p>
      <w:pPr>
        <w:pStyle w:val="8"/>
        <w:numPr>
          <w:ilvl w:val="0"/>
          <w:numId w:val="0"/>
        </w:numPr>
        <w:ind w:leftChars="0"/>
        <w:jc w:val="left"/>
        <w:rPr>
          <w:rFonts w:hint="eastAsia" w:ascii="黑体" w:hAnsi="黑体" w:eastAsia="黑体" w:cs="黑体"/>
          <w:b/>
          <w:sz w:val="30"/>
          <w:szCs w:val="30"/>
          <w:lang w:val="en-US" w:eastAsia="zh-CN"/>
        </w:rPr>
      </w:pPr>
    </w:p>
    <w:p>
      <w:pPr>
        <w:pStyle w:val="8"/>
        <w:numPr>
          <w:ilvl w:val="0"/>
          <w:numId w:val="0"/>
        </w:numPr>
        <w:ind w:leftChars="0"/>
        <w:jc w:val="left"/>
        <w:rPr>
          <w:rFonts w:hint="eastAsia" w:ascii="黑体" w:hAnsi="黑体" w:eastAsia="黑体" w:cs="黑体"/>
          <w:b/>
          <w:sz w:val="30"/>
          <w:szCs w:val="30"/>
          <w:lang w:val="en-US" w:eastAsia="zh-CN"/>
        </w:rPr>
      </w:pPr>
    </w:p>
    <w:p>
      <w:pPr>
        <w:pStyle w:val="8"/>
        <w:numPr>
          <w:ilvl w:val="0"/>
          <w:numId w:val="0"/>
        </w:numPr>
        <w:ind w:leftChars="0"/>
        <w:jc w:val="left"/>
        <w:rPr>
          <w:rFonts w:hint="eastAsia" w:ascii="黑体" w:hAnsi="黑体" w:eastAsia="黑体" w:cs="黑体"/>
          <w:b/>
          <w:sz w:val="30"/>
          <w:szCs w:val="30"/>
          <w:lang w:val="en-US" w:eastAsia="zh-CN"/>
        </w:rPr>
      </w:pPr>
    </w:p>
    <w:p>
      <w:pPr>
        <w:pStyle w:val="8"/>
        <w:numPr>
          <w:ilvl w:val="0"/>
          <w:numId w:val="0"/>
        </w:numPr>
        <w:ind w:leftChars="0"/>
        <w:jc w:val="left"/>
        <w:rPr>
          <w:rFonts w:hint="eastAsia" w:ascii="黑体" w:hAnsi="黑体" w:eastAsia="黑体" w:cs="黑体"/>
          <w:b/>
          <w:sz w:val="30"/>
          <w:szCs w:val="30"/>
          <w:lang w:val="en-US" w:eastAsia="zh-CN"/>
        </w:rPr>
      </w:pPr>
    </w:p>
    <w:p>
      <w:pPr>
        <w:pStyle w:val="8"/>
        <w:numPr>
          <w:ilvl w:val="0"/>
          <w:numId w:val="0"/>
        </w:numPr>
        <w:ind w:leftChars="0"/>
        <w:jc w:val="left"/>
        <w:rPr>
          <w:rFonts w:hint="eastAsia" w:ascii="黑体" w:hAnsi="黑体" w:eastAsia="黑体" w:cs="黑体"/>
          <w:b/>
          <w:sz w:val="30"/>
          <w:szCs w:val="30"/>
          <w:lang w:val="en-US" w:eastAsia="zh-CN"/>
        </w:rPr>
      </w:pPr>
    </w:p>
    <w:p>
      <w:pPr>
        <w:pStyle w:val="8"/>
        <w:numPr>
          <w:ilvl w:val="0"/>
          <w:numId w:val="0"/>
        </w:numPr>
        <w:ind w:leftChars="0"/>
        <w:jc w:val="left"/>
        <w:rPr>
          <w:rFonts w:hint="eastAsia" w:ascii="黑体" w:hAnsi="黑体" w:eastAsia="黑体" w:cs="黑体"/>
          <w:b/>
          <w:sz w:val="30"/>
          <w:szCs w:val="30"/>
          <w:lang w:val="en-US" w:eastAsia="zh-CN"/>
        </w:rPr>
      </w:pPr>
    </w:p>
    <w:p>
      <w:pPr>
        <w:pStyle w:val="8"/>
        <w:numPr>
          <w:ilvl w:val="0"/>
          <w:numId w:val="0"/>
        </w:numPr>
        <w:ind w:leftChars="0"/>
        <w:jc w:val="left"/>
        <w:rPr>
          <w:rFonts w:hint="eastAsia" w:ascii="黑体" w:hAnsi="黑体" w:eastAsia="黑体" w:cs="黑体"/>
          <w:b/>
          <w:sz w:val="30"/>
          <w:szCs w:val="30"/>
        </w:rPr>
      </w:pPr>
      <w:r>
        <w:rPr>
          <w:rFonts w:hint="eastAsia" w:ascii="黑体" w:hAnsi="黑体" w:eastAsia="黑体" w:cs="黑体"/>
          <w:b/>
          <w:sz w:val="30"/>
          <w:szCs w:val="30"/>
          <w:lang w:val="en-US" w:eastAsia="zh-CN"/>
        </w:rPr>
        <w:t>附：</w:t>
      </w:r>
      <w:r>
        <w:rPr>
          <w:rFonts w:hint="eastAsia" w:ascii="黑体" w:hAnsi="黑体" w:eastAsia="黑体" w:cs="黑体"/>
          <w:b/>
          <w:sz w:val="30"/>
          <w:szCs w:val="30"/>
        </w:rPr>
        <w:t>日程安排</w:t>
      </w:r>
    </w:p>
    <w:tbl>
      <w:tblPr>
        <w:tblStyle w:val="4"/>
        <w:tblW w:w="8560" w:type="dxa"/>
        <w:tblInd w:w="93" w:type="dxa"/>
        <w:tblLayout w:type="fixed"/>
        <w:tblCellMar>
          <w:top w:w="0" w:type="dxa"/>
          <w:left w:w="108" w:type="dxa"/>
          <w:bottom w:w="0" w:type="dxa"/>
          <w:right w:w="108" w:type="dxa"/>
        </w:tblCellMar>
      </w:tblPr>
      <w:tblGrid>
        <w:gridCol w:w="760"/>
        <w:gridCol w:w="740"/>
        <w:gridCol w:w="4151"/>
        <w:gridCol w:w="1129"/>
        <w:gridCol w:w="1780"/>
      </w:tblGrid>
      <w:tr>
        <w:tblPrEx>
          <w:tblCellMar>
            <w:top w:w="0" w:type="dxa"/>
            <w:left w:w="108" w:type="dxa"/>
            <w:bottom w:w="0" w:type="dxa"/>
            <w:right w:w="108" w:type="dxa"/>
          </w:tblCellMar>
        </w:tblPrEx>
        <w:trPr>
          <w:trHeight w:val="375" w:hRule="atLeast"/>
        </w:trPr>
        <w:tc>
          <w:tcPr>
            <w:tcW w:w="760"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eastAsia="宋体" w:cs="宋体"/>
                <w:b/>
                <w:bCs/>
                <w:color w:val="000000"/>
                <w:kern w:val="0"/>
                <w:sz w:val="28"/>
                <w:szCs w:val="28"/>
              </w:rPr>
            </w:pPr>
            <w:r>
              <w:rPr>
                <w:rFonts w:hint="eastAsia" w:ascii="宋体" w:hAnsi="宋体" w:eastAsia="宋体" w:cs="宋体"/>
                <w:b/>
                <w:bCs/>
                <w:color w:val="000000"/>
                <w:kern w:val="0"/>
                <w:sz w:val="28"/>
                <w:szCs w:val="28"/>
              </w:rPr>
              <w:t>学期</w:t>
            </w:r>
          </w:p>
        </w:tc>
        <w:tc>
          <w:tcPr>
            <w:tcW w:w="740"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b/>
                <w:bCs/>
                <w:color w:val="000000"/>
                <w:kern w:val="0"/>
                <w:sz w:val="28"/>
                <w:szCs w:val="28"/>
              </w:rPr>
            </w:pPr>
            <w:r>
              <w:rPr>
                <w:rFonts w:hint="eastAsia" w:ascii="宋体" w:hAnsi="宋体" w:eastAsia="宋体" w:cs="宋体"/>
                <w:b/>
                <w:bCs/>
                <w:color w:val="000000"/>
                <w:kern w:val="0"/>
                <w:sz w:val="28"/>
                <w:szCs w:val="28"/>
              </w:rPr>
              <w:t>月份</w:t>
            </w:r>
          </w:p>
        </w:tc>
        <w:tc>
          <w:tcPr>
            <w:tcW w:w="4151"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b/>
                <w:bCs/>
                <w:color w:val="000000"/>
                <w:kern w:val="0"/>
                <w:sz w:val="28"/>
                <w:szCs w:val="28"/>
              </w:rPr>
            </w:pPr>
            <w:r>
              <w:rPr>
                <w:rFonts w:hint="eastAsia" w:ascii="宋体" w:hAnsi="宋体" w:eastAsia="宋体" w:cs="宋体"/>
                <w:b/>
                <w:bCs/>
                <w:color w:val="000000"/>
                <w:kern w:val="0"/>
                <w:sz w:val="28"/>
                <w:szCs w:val="28"/>
                <w:lang w:val="en-US" w:eastAsia="zh-CN"/>
              </w:rPr>
              <w:t>活动</w:t>
            </w:r>
            <w:r>
              <w:rPr>
                <w:rFonts w:hint="eastAsia" w:ascii="宋体" w:hAnsi="宋体" w:eastAsia="宋体" w:cs="宋体"/>
                <w:b/>
                <w:bCs/>
                <w:color w:val="000000"/>
                <w:kern w:val="0"/>
                <w:sz w:val="28"/>
                <w:szCs w:val="28"/>
              </w:rPr>
              <w:t>主题</w:t>
            </w:r>
          </w:p>
        </w:tc>
        <w:tc>
          <w:tcPr>
            <w:tcW w:w="1129"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hint="eastAsia" w:ascii="宋体" w:hAnsi="宋体" w:eastAsia="宋体" w:cs="宋体"/>
                <w:b/>
                <w:bCs/>
                <w:color w:val="000000"/>
                <w:kern w:val="0"/>
                <w:sz w:val="28"/>
                <w:szCs w:val="28"/>
              </w:rPr>
            </w:pPr>
            <w:r>
              <w:rPr>
                <w:rFonts w:hint="eastAsia" w:ascii="宋体" w:hAnsi="宋体" w:eastAsia="宋体" w:cs="宋体"/>
                <w:b/>
                <w:bCs/>
                <w:color w:val="000000"/>
                <w:kern w:val="0"/>
                <w:sz w:val="28"/>
                <w:szCs w:val="28"/>
              </w:rPr>
              <w:t>参与</w:t>
            </w:r>
          </w:p>
          <w:p>
            <w:pPr>
              <w:widowControl/>
              <w:jc w:val="center"/>
              <w:rPr>
                <w:rFonts w:ascii="宋体" w:hAnsi="宋体" w:eastAsia="宋体" w:cs="宋体"/>
                <w:b/>
                <w:bCs/>
                <w:color w:val="000000"/>
                <w:kern w:val="0"/>
                <w:sz w:val="28"/>
                <w:szCs w:val="28"/>
              </w:rPr>
            </w:pPr>
            <w:r>
              <w:rPr>
                <w:rFonts w:hint="eastAsia" w:ascii="宋体" w:hAnsi="宋体" w:eastAsia="宋体" w:cs="宋体"/>
                <w:b/>
                <w:bCs/>
                <w:color w:val="000000"/>
                <w:kern w:val="0"/>
                <w:sz w:val="28"/>
                <w:szCs w:val="28"/>
              </w:rPr>
              <w:t>人员</w:t>
            </w:r>
          </w:p>
        </w:tc>
        <w:tc>
          <w:tcPr>
            <w:tcW w:w="1780"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b/>
                <w:bCs/>
                <w:color w:val="000000"/>
                <w:kern w:val="0"/>
                <w:sz w:val="28"/>
                <w:szCs w:val="28"/>
              </w:rPr>
            </w:pPr>
            <w:r>
              <w:rPr>
                <w:rFonts w:hint="eastAsia" w:ascii="宋体" w:hAnsi="宋体" w:eastAsia="宋体" w:cs="宋体"/>
                <w:b/>
                <w:bCs/>
                <w:color w:val="000000"/>
                <w:kern w:val="0"/>
                <w:sz w:val="28"/>
                <w:szCs w:val="28"/>
              </w:rPr>
              <w:t>举办部门</w:t>
            </w:r>
          </w:p>
        </w:tc>
      </w:tr>
      <w:tr>
        <w:tblPrEx>
          <w:tblCellMar>
            <w:top w:w="0" w:type="dxa"/>
            <w:left w:w="108" w:type="dxa"/>
            <w:bottom w:w="0" w:type="dxa"/>
            <w:right w:w="108" w:type="dxa"/>
          </w:tblCellMar>
        </w:tblPrEx>
        <w:trPr>
          <w:trHeight w:val="450" w:hRule="atLeast"/>
        </w:trPr>
        <w:tc>
          <w:tcPr>
            <w:tcW w:w="760"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春季学期</w:t>
            </w:r>
          </w:p>
        </w:tc>
        <w:tc>
          <w:tcPr>
            <w:tcW w:w="740"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b/>
                <w:bCs/>
                <w:color w:val="000000"/>
                <w:kern w:val="0"/>
                <w:sz w:val="22"/>
              </w:rPr>
            </w:pPr>
            <w:r>
              <w:rPr>
                <w:rFonts w:hint="eastAsia" w:ascii="宋体" w:hAnsi="宋体" w:eastAsia="宋体" w:cs="宋体"/>
                <w:b/>
                <w:bCs/>
                <w:color w:val="000000"/>
                <w:kern w:val="0"/>
                <w:sz w:val="22"/>
              </w:rPr>
              <w:t>3月</w:t>
            </w:r>
          </w:p>
        </w:tc>
        <w:tc>
          <w:tcPr>
            <w:tcW w:w="4151" w:type="dxa"/>
            <w:tcBorders>
              <w:top w:val="nil"/>
              <w:left w:val="nil"/>
              <w:bottom w:val="single" w:color="auto" w:sz="4" w:space="0"/>
              <w:right w:val="single" w:color="auto" w:sz="4" w:space="0"/>
            </w:tcBorders>
            <w:shd w:val="clear" w:color="auto" w:fill="auto"/>
            <w:vAlign w:val="center"/>
          </w:tcPr>
          <w:p>
            <w:pPr>
              <w:widowControl/>
              <w:jc w:val="center"/>
              <w:rPr>
                <w:rFonts w:hint="default" w:ascii="微软雅黑" w:hAnsi="微软雅黑" w:eastAsia="微软雅黑" w:cs="宋体"/>
                <w:color w:val="333333"/>
                <w:kern w:val="0"/>
                <w:sz w:val="22"/>
                <w:lang w:val="en-US" w:eastAsia="zh-CN"/>
              </w:rPr>
            </w:pPr>
            <w:r>
              <w:rPr>
                <w:rFonts w:hint="eastAsia" w:ascii="微软雅黑" w:hAnsi="微软雅黑" w:eastAsia="微软雅黑" w:cs="宋体"/>
                <w:color w:val="333333"/>
                <w:kern w:val="0"/>
                <w:sz w:val="22"/>
                <w:lang w:val="en-US" w:eastAsia="zh-CN"/>
              </w:rPr>
              <w:t>教风建设活动月</w:t>
            </w:r>
          </w:p>
        </w:tc>
        <w:tc>
          <w:tcPr>
            <w:tcW w:w="1129" w:type="dxa"/>
            <w:tcBorders>
              <w:top w:val="nil"/>
              <w:left w:val="nil"/>
              <w:bottom w:val="single" w:color="auto" w:sz="4" w:space="0"/>
              <w:right w:val="single" w:color="auto" w:sz="4" w:space="0"/>
            </w:tcBorders>
            <w:shd w:val="clear" w:color="auto" w:fill="auto"/>
            <w:noWrap/>
            <w:vAlign w:val="center"/>
          </w:tcPr>
          <w:p>
            <w:pPr>
              <w:widowControl/>
              <w:jc w:val="center"/>
              <w:rPr>
                <w:rFonts w:ascii="微软雅黑" w:hAnsi="微软雅黑" w:eastAsia="微软雅黑" w:cs="宋体"/>
                <w:color w:val="333333"/>
                <w:kern w:val="0"/>
                <w:sz w:val="22"/>
              </w:rPr>
            </w:pPr>
            <w:r>
              <w:rPr>
                <w:rFonts w:hint="eastAsia" w:ascii="微软雅黑" w:hAnsi="微软雅黑" w:eastAsia="微软雅黑" w:cs="宋体"/>
                <w:color w:val="333333"/>
                <w:kern w:val="0"/>
                <w:sz w:val="22"/>
              </w:rPr>
              <w:t>全体教师</w:t>
            </w:r>
          </w:p>
        </w:tc>
        <w:tc>
          <w:tcPr>
            <w:tcW w:w="1780" w:type="dxa"/>
            <w:tcBorders>
              <w:top w:val="nil"/>
              <w:left w:val="nil"/>
              <w:bottom w:val="single" w:color="auto" w:sz="4" w:space="0"/>
              <w:right w:val="single" w:color="auto" w:sz="4" w:space="0"/>
            </w:tcBorders>
            <w:shd w:val="clear" w:color="auto" w:fill="auto"/>
            <w:noWrap/>
            <w:vAlign w:val="center"/>
          </w:tcPr>
          <w:p>
            <w:pPr>
              <w:widowControl/>
              <w:jc w:val="center"/>
              <w:rPr>
                <w:rFonts w:ascii="微软雅黑" w:hAnsi="微软雅黑" w:eastAsia="微软雅黑" w:cs="宋体"/>
                <w:color w:val="333333"/>
                <w:kern w:val="0"/>
                <w:sz w:val="22"/>
              </w:rPr>
            </w:pPr>
            <w:r>
              <w:rPr>
                <w:rFonts w:hint="eastAsia" w:ascii="微软雅黑" w:hAnsi="微软雅黑" w:eastAsia="微软雅黑" w:cs="宋体"/>
                <w:color w:val="333333"/>
                <w:kern w:val="0"/>
                <w:sz w:val="22"/>
              </w:rPr>
              <w:t>教务处</w:t>
            </w:r>
          </w:p>
        </w:tc>
      </w:tr>
      <w:tr>
        <w:tblPrEx>
          <w:tblCellMar>
            <w:top w:w="0" w:type="dxa"/>
            <w:left w:w="108" w:type="dxa"/>
            <w:bottom w:w="0" w:type="dxa"/>
            <w:right w:w="108" w:type="dxa"/>
          </w:tblCellMar>
        </w:tblPrEx>
        <w:trPr>
          <w:trHeight w:val="990" w:hRule="atLeast"/>
        </w:trPr>
        <w:tc>
          <w:tcPr>
            <w:tcW w:w="760"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eastAsia="宋体" w:cs="宋体"/>
                <w:color w:val="000000"/>
                <w:kern w:val="0"/>
                <w:sz w:val="22"/>
              </w:rPr>
            </w:pPr>
          </w:p>
        </w:tc>
        <w:tc>
          <w:tcPr>
            <w:tcW w:w="740"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b/>
                <w:bCs/>
                <w:color w:val="000000"/>
                <w:kern w:val="0"/>
                <w:sz w:val="22"/>
              </w:rPr>
            </w:pPr>
            <w:r>
              <w:rPr>
                <w:rFonts w:hint="eastAsia" w:ascii="宋体" w:hAnsi="宋体" w:eastAsia="宋体" w:cs="宋体"/>
                <w:b/>
                <w:bCs/>
                <w:color w:val="000000"/>
                <w:kern w:val="0"/>
                <w:sz w:val="22"/>
              </w:rPr>
              <w:t>4月</w:t>
            </w:r>
          </w:p>
        </w:tc>
        <w:tc>
          <w:tcPr>
            <w:tcW w:w="4151" w:type="dxa"/>
            <w:tcBorders>
              <w:top w:val="nil"/>
              <w:left w:val="nil"/>
              <w:bottom w:val="single" w:color="auto" w:sz="4" w:space="0"/>
              <w:right w:val="single" w:color="auto" w:sz="4" w:space="0"/>
            </w:tcBorders>
            <w:shd w:val="clear" w:color="auto" w:fill="auto"/>
            <w:vAlign w:val="center"/>
          </w:tcPr>
          <w:p>
            <w:pPr>
              <w:widowControl/>
              <w:jc w:val="center"/>
              <w:rPr>
                <w:rFonts w:ascii="微软雅黑" w:hAnsi="微软雅黑" w:eastAsia="微软雅黑" w:cs="宋体"/>
                <w:color w:val="333333"/>
                <w:kern w:val="0"/>
                <w:sz w:val="22"/>
              </w:rPr>
            </w:pPr>
            <w:r>
              <w:rPr>
                <w:rFonts w:hint="eastAsia" w:ascii="微软雅黑" w:hAnsi="微软雅黑" w:eastAsia="微软雅黑" w:cs="宋体"/>
                <w:color w:val="333333"/>
                <w:kern w:val="0"/>
                <w:sz w:val="22"/>
                <w:lang w:val="en-US" w:eastAsia="zh-CN"/>
              </w:rPr>
              <w:t>教务微信平台、学校广播电台</w:t>
            </w:r>
            <w:r>
              <w:rPr>
                <w:rFonts w:hint="eastAsia" w:ascii="微软雅黑" w:hAnsi="微软雅黑" w:eastAsia="微软雅黑" w:cs="宋体"/>
                <w:color w:val="333333"/>
                <w:kern w:val="0"/>
                <w:sz w:val="22"/>
              </w:rPr>
              <w:t>宣传师德榜样事迹（每月2人，每学院1人）</w:t>
            </w:r>
          </w:p>
        </w:tc>
        <w:tc>
          <w:tcPr>
            <w:tcW w:w="1129" w:type="dxa"/>
            <w:tcBorders>
              <w:top w:val="nil"/>
              <w:left w:val="nil"/>
              <w:bottom w:val="single" w:color="auto" w:sz="4" w:space="0"/>
              <w:right w:val="single" w:color="auto" w:sz="4" w:space="0"/>
            </w:tcBorders>
            <w:shd w:val="clear" w:color="auto" w:fill="auto"/>
            <w:noWrap/>
            <w:vAlign w:val="center"/>
          </w:tcPr>
          <w:p>
            <w:pPr>
              <w:widowControl/>
              <w:jc w:val="center"/>
              <w:rPr>
                <w:rFonts w:ascii="微软雅黑" w:hAnsi="微软雅黑" w:eastAsia="微软雅黑" w:cs="宋体"/>
                <w:color w:val="333333"/>
                <w:kern w:val="0"/>
                <w:sz w:val="22"/>
              </w:rPr>
            </w:pPr>
            <w:r>
              <w:rPr>
                <w:rFonts w:hint="eastAsia" w:ascii="微软雅黑" w:hAnsi="微软雅黑" w:eastAsia="微软雅黑" w:cs="宋体"/>
                <w:color w:val="333333"/>
                <w:kern w:val="0"/>
                <w:sz w:val="22"/>
              </w:rPr>
              <w:t>各学院</w:t>
            </w:r>
          </w:p>
        </w:tc>
        <w:tc>
          <w:tcPr>
            <w:tcW w:w="1780" w:type="dxa"/>
            <w:tcBorders>
              <w:top w:val="nil"/>
              <w:left w:val="nil"/>
              <w:bottom w:val="single" w:color="auto" w:sz="4" w:space="0"/>
              <w:right w:val="single" w:color="auto" w:sz="4" w:space="0"/>
            </w:tcBorders>
            <w:shd w:val="clear" w:color="auto" w:fill="auto"/>
            <w:vAlign w:val="center"/>
          </w:tcPr>
          <w:p>
            <w:pPr>
              <w:widowControl/>
              <w:jc w:val="center"/>
              <w:rPr>
                <w:rFonts w:ascii="微软雅黑" w:hAnsi="微软雅黑" w:eastAsia="微软雅黑" w:cs="宋体"/>
                <w:color w:val="333333"/>
                <w:kern w:val="0"/>
                <w:sz w:val="22"/>
              </w:rPr>
            </w:pPr>
            <w:r>
              <w:rPr>
                <w:rFonts w:hint="eastAsia" w:ascii="微软雅黑" w:hAnsi="微软雅黑" w:eastAsia="微软雅黑" w:cs="宋体"/>
                <w:color w:val="333333"/>
                <w:kern w:val="0"/>
                <w:sz w:val="22"/>
              </w:rPr>
              <w:t>各学院</w:t>
            </w:r>
            <w:r>
              <w:rPr>
                <w:rFonts w:hint="eastAsia" w:ascii="微软雅黑" w:hAnsi="微软雅黑" w:eastAsia="微软雅黑" w:cs="宋体"/>
                <w:color w:val="333333"/>
                <w:kern w:val="0"/>
                <w:sz w:val="22"/>
                <w:lang w:eastAsia="zh-CN"/>
              </w:rPr>
              <w:t>、</w:t>
            </w:r>
            <w:r>
              <w:rPr>
                <w:rFonts w:hint="eastAsia" w:ascii="微软雅黑" w:hAnsi="微软雅黑" w:eastAsia="微软雅黑" w:cs="宋体"/>
                <w:color w:val="333333"/>
                <w:kern w:val="0"/>
                <w:sz w:val="22"/>
              </w:rPr>
              <w:t>教务处</w:t>
            </w:r>
          </w:p>
        </w:tc>
      </w:tr>
      <w:tr>
        <w:tblPrEx>
          <w:tblCellMar>
            <w:top w:w="0" w:type="dxa"/>
            <w:left w:w="108" w:type="dxa"/>
            <w:bottom w:w="0" w:type="dxa"/>
            <w:right w:w="108" w:type="dxa"/>
          </w:tblCellMar>
        </w:tblPrEx>
        <w:trPr>
          <w:trHeight w:val="450" w:hRule="atLeast"/>
        </w:trPr>
        <w:tc>
          <w:tcPr>
            <w:tcW w:w="760"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eastAsia="宋体" w:cs="宋体"/>
                <w:color w:val="000000"/>
                <w:kern w:val="0"/>
                <w:sz w:val="22"/>
              </w:rPr>
            </w:pPr>
          </w:p>
        </w:tc>
        <w:tc>
          <w:tcPr>
            <w:tcW w:w="740"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b/>
                <w:bCs/>
                <w:color w:val="000000"/>
                <w:kern w:val="0"/>
                <w:sz w:val="22"/>
              </w:rPr>
            </w:pPr>
            <w:r>
              <w:rPr>
                <w:rFonts w:hint="eastAsia" w:ascii="宋体" w:hAnsi="宋体" w:eastAsia="宋体" w:cs="宋体"/>
                <w:b/>
                <w:bCs/>
                <w:color w:val="000000"/>
                <w:kern w:val="0"/>
                <w:sz w:val="22"/>
              </w:rPr>
              <w:t>5月</w:t>
            </w:r>
          </w:p>
        </w:tc>
        <w:tc>
          <w:tcPr>
            <w:tcW w:w="4151" w:type="dxa"/>
            <w:tcBorders>
              <w:top w:val="nil"/>
              <w:left w:val="nil"/>
              <w:bottom w:val="single" w:color="auto" w:sz="4" w:space="0"/>
              <w:right w:val="single" w:color="auto" w:sz="4" w:space="0"/>
            </w:tcBorders>
            <w:shd w:val="clear" w:color="auto" w:fill="auto"/>
            <w:vAlign w:val="center"/>
          </w:tcPr>
          <w:p>
            <w:pPr>
              <w:widowControl/>
              <w:jc w:val="center"/>
              <w:rPr>
                <w:rFonts w:hint="default" w:ascii="微软雅黑" w:hAnsi="微软雅黑" w:eastAsia="微软雅黑" w:cs="宋体"/>
                <w:color w:val="333333"/>
                <w:kern w:val="0"/>
                <w:sz w:val="22"/>
                <w:lang w:val="en-US" w:eastAsia="zh-CN"/>
              </w:rPr>
            </w:pPr>
            <w:r>
              <w:rPr>
                <w:rFonts w:hint="eastAsia" w:ascii="微软雅黑" w:hAnsi="微软雅黑" w:eastAsia="微软雅黑" w:cs="宋体"/>
                <w:color w:val="333333"/>
                <w:kern w:val="0"/>
                <w:sz w:val="22"/>
                <w:lang w:val="en-US" w:eastAsia="zh-CN"/>
              </w:rPr>
              <w:t>师德师风交流研讨活动</w:t>
            </w:r>
          </w:p>
        </w:tc>
        <w:tc>
          <w:tcPr>
            <w:tcW w:w="1129" w:type="dxa"/>
            <w:tcBorders>
              <w:top w:val="nil"/>
              <w:left w:val="nil"/>
              <w:bottom w:val="single" w:color="auto" w:sz="4" w:space="0"/>
              <w:right w:val="single" w:color="auto" w:sz="4" w:space="0"/>
            </w:tcBorders>
            <w:shd w:val="clear" w:color="auto" w:fill="auto"/>
            <w:noWrap/>
            <w:vAlign w:val="center"/>
          </w:tcPr>
          <w:p>
            <w:pPr>
              <w:widowControl/>
              <w:jc w:val="center"/>
              <w:rPr>
                <w:rFonts w:ascii="微软雅黑" w:hAnsi="微软雅黑" w:eastAsia="微软雅黑" w:cs="宋体"/>
                <w:color w:val="333333"/>
                <w:kern w:val="0"/>
                <w:sz w:val="22"/>
              </w:rPr>
            </w:pPr>
            <w:r>
              <w:rPr>
                <w:rFonts w:hint="eastAsia" w:ascii="微软雅黑" w:hAnsi="微软雅黑" w:eastAsia="微软雅黑" w:cs="宋体"/>
                <w:color w:val="333333"/>
                <w:kern w:val="0"/>
                <w:sz w:val="22"/>
              </w:rPr>
              <w:t>全体教师</w:t>
            </w:r>
          </w:p>
        </w:tc>
        <w:tc>
          <w:tcPr>
            <w:tcW w:w="1780" w:type="dxa"/>
            <w:tcBorders>
              <w:top w:val="nil"/>
              <w:left w:val="nil"/>
              <w:bottom w:val="single" w:color="auto" w:sz="4" w:space="0"/>
              <w:right w:val="single" w:color="auto" w:sz="4" w:space="0"/>
            </w:tcBorders>
            <w:shd w:val="clear" w:color="auto" w:fill="auto"/>
            <w:noWrap/>
            <w:vAlign w:val="center"/>
          </w:tcPr>
          <w:p>
            <w:pPr>
              <w:widowControl/>
              <w:jc w:val="center"/>
              <w:rPr>
                <w:rFonts w:hint="default" w:ascii="微软雅黑" w:hAnsi="微软雅黑" w:eastAsia="微软雅黑" w:cs="宋体"/>
                <w:color w:val="333333"/>
                <w:kern w:val="0"/>
                <w:sz w:val="22"/>
                <w:lang w:val="en-US" w:eastAsia="zh-CN"/>
              </w:rPr>
            </w:pPr>
            <w:r>
              <w:rPr>
                <w:rFonts w:hint="eastAsia" w:ascii="微软雅黑" w:hAnsi="微软雅黑" w:eastAsia="微软雅黑" w:cs="宋体"/>
                <w:color w:val="333333"/>
                <w:kern w:val="0"/>
                <w:sz w:val="22"/>
                <w:lang w:val="en-US" w:eastAsia="zh-CN"/>
              </w:rPr>
              <w:t>各学院</w:t>
            </w:r>
          </w:p>
        </w:tc>
      </w:tr>
      <w:tr>
        <w:tblPrEx>
          <w:tblCellMar>
            <w:top w:w="0" w:type="dxa"/>
            <w:left w:w="108" w:type="dxa"/>
            <w:bottom w:w="0" w:type="dxa"/>
            <w:right w:w="108" w:type="dxa"/>
          </w:tblCellMar>
        </w:tblPrEx>
        <w:trPr>
          <w:trHeight w:val="420" w:hRule="atLeast"/>
        </w:trPr>
        <w:tc>
          <w:tcPr>
            <w:tcW w:w="760"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eastAsia="宋体" w:cs="宋体"/>
                <w:color w:val="000000"/>
                <w:kern w:val="0"/>
                <w:sz w:val="22"/>
              </w:rPr>
            </w:pPr>
          </w:p>
        </w:tc>
        <w:tc>
          <w:tcPr>
            <w:tcW w:w="740"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b/>
                <w:bCs/>
                <w:color w:val="000000"/>
                <w:kern w:val="0"/>
                <w:sz w:val="22"/>
              </w:rPr>
            </w:pPr>
            <w:r>
              <w:rPr>
                <w:rFonts w:hint="eastAsia" w:ascii="宋体" w:hAnsi="宋体" w:eastAsia="宋体" w:cs="宋体"/>
                <w:b/>
                <w:bCs/>
                <w:color w:val="000000"/>
                <w:kern w:val="0"/>
                <w:sz w:val="22"/>
              </w:rPr>
              <w:t>6月</w:t>
            </w:r>
          </w:p>
        </w:tc>
        <w:tc>
          <w:tcPr>
            <w:tcW w:w="4151" w:type="dxa"/>
            <w:tcBorders>
              <w:top w:val="nil"/>
              <w:left w:val="nil"/>
              <w:bottom w:val="single" w:color="auto" w:sz="4" w:space="0"/>
              <w:right w:val="single" w:color="auto" w:sz="4" w:space="0"/>
            </w:tcBorders>
            <w:shd w:val="clear" w:color="auto" w:fill="auto"/>
            <w:vAlign w:val="center"/>
          </w:tcPr>
          <w:p>
            <w:pPr>
              <w:widowControl/>
              <w:jc w:val="center"/>
              <w:rPr>
                <w:rFonts w:ascii="微软雅黑" w:hAnsi="微软雅黑" w:eastAsia="微软雅黑" w:cs="宋体"/>
                <w:color w:val="333333"/>
                <w:kern w:val="0"/>
                <w:sz w:val="22"/>
              </w:rPr>
            </w:pPr>
            <w:r>
              <w:rPr>
                <w:rFonts w:hint="eastAsia" w:ascii="微软雅黑" w:hAnsi="微软雅黑" w:eastAsia="微软雅黑" w:cs="宋体"/>
                <w:color w:val="333333"/>
                <w:kern w:val="0"/>
                <w:sz w:val="22"/>
                <w:lang w:val="en-US" w:eastAsia="zh-CN"/>
              </w:rPr>
              <w:t>校级课程思政</w:t>
            </w:r>
            <w:r>
              <w:rPr>
                <w:rFonts w:hint="eastAsia" w:ascii="微软雅黑" w:hAnsi="微软雅黑" w:eastAsia="微软雅黑" w:cs="宋体"/>
                <w:color w:val="333333"/>
                <w:kern w:val="0"/>
                <w:sz w:val="22"/>
              </w:rPr>
              <w:t>交流</w:t>
            </w:r>
            <w:r>
              <w:rPr>
                <w:rFonts w:hint="eastAsia" w:ascii="微软雅黑" w:hAnsi="微软雅黑" w:eastAsia="微软雅黑" w:cs="宋体"/>
                <w:color w:val="333333"/>
                <w:kern w:val="0"/>
                <w:sz w:val="22"/>
                <w:lang w:val="en-US" w:eastAsia="zh-CN"/>
              </w:rPr>
              <w:t>活动</w:t>
            </w:r>
          </w:p>
        </w:tc>
        <w:tc>
          <w:tcPr>
            <w:tcW w:w="1129" w:type="dxa"/>
            <w:tcBorders>
              <w:top w:val="nil"/>
              <w:left w:val="nil"/>
              <w:bottom w:val="single" w:color="auto" w:sz="4" w:space="0"/>
              <w:right w:val="single" w:color="auto" w:sz="4" w:space="0"/>
            </w:tcBorders>
            <w:shd w:val="clear" w:color="auto" w:fill="auto"/>
            <w:noWrap/>
            <w:vAlign w:val="center"/>
          </w:tcPr>
          <w:p>
            <w:pPr>
              <w:widowControl/>
              <w:jc w:val="center"/>
              <w:rPr>
                <w:rFonts w:ascii="微软雅黑" w:hAnsi="微软雅黑" w:eastAsia="微软雅黑" w:cs="宋体"/>
                <w:color w:val="333333"/>
                <w:kern w:val="0"/>
                <w:sz w:val="22"/>
              </w:rPr>
            </w:pPr>
            <w:r>
              <w:rPr>
                <w:rFonts w:hint="eastAsia" w:ascii="微软雅黑" w:hAnsi="微软雅黑" w:eastAsia="微软雅黑" w:cs="宋体"/>
                <w:color w:val="333333"/>
                <w:kern w:val="0"/>
                <w:sz w:val="22"/>
              </w:rPr>
              <w:t>全体教师</w:t>
            </w:r>
          </w:p>
        </w:tc>
        <w:tc>
          <w:tcPr>
            <w:tcW w:w="1780" w:type="dxa"/>
            <w:tcBorders>
              <w:top w:val="nil"/>
              <w:left w:val="nil"/>
              <w:bottom w:val="single" w:color="auto" w:sz="4" w:space="0"/>
              <w:right w:val="single" w:color="auto" w:sz="4" w:space="0"/>
            </w:tcBorders>
            <w:shd w:val="clear" w:color="auto" w:fill="auto"/>
            <w:noWrap/>
            <w:vAlign w:val="center"/>
          </w:tcPr>
          <w:p>
            <w:pPr>
              <w:widowControl/>
              <w:jc w:val="center"/>
              <w:rPr>
                <w:rFonts w:ascii="微软雅黑" w:hAnsi="微软雅黑" w:eastAsia="微软雅黑" w:cs="宋体"/>
                <w:color w:val="333333"/>
                <w:kern w:val="0"/>
                <w:sz w:val="22"/>
              </w:rPr>
            </w:pPr>
            <w:r>
              <w:rPr>
                <w:rFonts w:hint="eastAsia" w:ascii="微软雅黑" w:hAnsi="微软雅黑" w:eastAsia="微软雅黑" w:cs="宋体"/>
                <w:color w:val="333333"/>
                <w:kern w:val="0"/>
                <w:sz w:val="22"/>
              </w:rPr>
              <w:t>教务处</w:t>
            </w:r>
          </w:p>
        </w:tc>
      </w:tr>
      <w:tr>
        <w:tblPrEx>
          <w:tblCellMar>
            <w:top w:w="0" w:type="dxa"/>
            <w:left w:w="108" w:type="dxa"/>
            <w:bottom w:w="0" w:type="dxa"/>
            <w:right w:w="108" w:type="dxa"/>
          </w:tblCellMar>
        </w:tblPrEx>
        <w:trPr>
          <w:trHeight w:val="330" w:hRule="atLeast"/>
        </w:trPr>
        <w:tc>
          <w:tcPr>
            <w:tcW w:w="760"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eastAsia="宋体" w:cs="宋体"/>
                <w:color w:val="000000"/>
                <w:kern w:val="0"/>
                <w:sz w:val="22"/>
              </w:rPr>
            </w:pPr>
          </w:p>
        </w:tc>
        <w:tc>
          <w:tcPr>
            <w:tcW w:w="740"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b/>
                <w:bCs/>
                <w:color w:val="000000"/>
                <w:kern w:val="0"/>
                <w:sz w:val="22"/>
              </w:rPr>
            </w:pPr>
            <w:r>
              <w:rPr>
                <w:rFonts w:hint="eastAsia" w:ascii="宋体" w:hAnsi="宋体" w:eastAsia="宋体" w:cs="宋体"/>
                <w:b/>
                <w:bCs/>
                <w:color w:val="000000"/>
                <w:kern w:val="0"/>
                <w:sz w:val="22"/>
              </w:rPr>
              <w:t>7月</w:t>
            </w:r>
          </w:p>
        </w:tc>
        <w:tc>
          <w:tcPr>
            <w:tcW w:w="4151" w:type="dxa"/>
            <w:tcBorders>
              <w:top w:val="nil"/>
              <w:left w:val="nil"/>
              <w:bottom w:val="single" w:color="auto" w:sz="4" w:space="0"/>
              <w:right w:val="single" w:color="auto" w:sz="4" w:space="0"/>
            </w:tcBorders>
            <w:shd w:val="clear" w:color="auto" w:fill="auto"/>
            <w:vAlign w:val="center"/>
          </w:tcPr>
          <w:p>
            <w:pPr>
              <w:widowControl/>
              <w:jc w:val="center"/>
              <w:rPr>
                <w:rFonts w:ascii="微软雅黑" w:hAnsi="微软雅黑" w:eastAsia="微软雅黑" w:cs="宋体"/>
                <w:color w:val="333333"/>
                <w:kern w:val="0"/>
                <w:sz w:val="22"/>
              </w:rPr>
            </w:pPr>
            <w:r>
              <w:rPr>
                <w:rFonts w:hint="eastAsia" w:ascii="微软雅黑" w:hAnsi="微软雅黑" w:eastAsia="微软雅黑" w:cs="宋体"/>
                <w:color w:val="333333"/>
                <w:kern w:val="0"/>
                <w:sz w:val="22"/>
              </w:rPr>
              <w:t>师德师风考试</w:t>
            </w:r>
          </w:p>
        </w:tc>
        <w:tc>
          <w:tcPr>
            <w:tcW w:w="1129" w:type="dxa"/>
            <w:tcBorders>
              <w:top w:val="nil"/>
              <w:left w:val="nil"/>
              <w:bottom w:val="single" w:color="auto" w:sz="4" w:space="0"/>
              <w:right w:val="single" w:color="auto" w:sz="4" w:space="0"/>
            </w:tcBorders>
            <w:shd w:val="clear" w:color="auto" w:fill="auto"/>
            <w:noWrap/>
            <w:vAlign w:val="center"/>
          </w:tcPr>
          <w:p>
            <w:pPr>
              <w:widowControl/>
              <w:jc w:val="center"/>
              <w:rPr>
                <w:rFonts w:ascii="微软雅黑" w:hAnsi="微软雅黑" w:eastAsia="微软雅黑" w:cs="宋体"/>
                <w:color w:val="333333"/>
                <w:kern w:val="0"/>
                <w:sz w:val="22"/>
              </w:rPr>
            </w:pPr>
            <w:r>
              <w:rPr>
                <w:rFonts w:hint="eastAsia" w:ascii="微软雅黑" w:hAnsi="微软雅黑" w:eastAsia="微软雅黑" w:cs="宋体"/>
                <w:color w:val="333333"/>
                <w:kern w:val="0"/>
                <w:sz w:val="22"/>
              </w:rPr>
              <w:t>全体教师</w:t>
            </w:r>
          </w:p>
        </w:tc>
        <w:tc>
          <w:tcPr>
            <w:tcW w:w="1780" w:type="dxa"/>
            <w:tcBorders>
              <w:top w:val="nil"/>
              <w:left w:val="nil"/>
              <w:bottom w:val="single" w:color="auto" w:sz="4" w:space="0"/>
              <w:right w:val="single" w:color="auto" w:sz="4" w:space="0"/>
            </w:tcBorders>
            <w:shd w:val="clear" w:color="auto" w:fill="auto"/>
            <w:noWrap/>
            <w:vAlign w:val="center"/>
          </w:tcPr>
          <w:p>
            <w:pPr>
              <w:widowControl/>
              <w:jc w:val="center"/>
              <w:rPr>
                <w:rFonts w:ascii="微软雅黑" w:hAnsi="微软雅黑" w:eastAsia="微软雅黑" w:cs="宋体"/>
                <w:color w:val="333333"/>
                <w:kern w:val="0"/>
                <w:sz w:val="22"/>
              </w:rPr>
            </w:pPr>
            <w:r>
              <w:rPr>
                <w:rFonts w:hint="eastAsia" w:ascii="微软雅黑" w:hAnsi="微软雅黑" w:eastAsia="微软雅黑" w:cs="宋体"/>
                <w:color w:val="333333"/>
                <w:kern w:val="0"/>
                <w:sz w:val="22"/>
              </w:rPr>
              <w:t>教务处</w:t>
            </w:r>
          </w:p>
        </w:tc>
      </w:tr>
      <w:tr>
        <w:tblPrEx>
          <w:tblCellMar>
            <w:top w:w="0" w:type="dxa"/>
            <w:left w:w="108" w:type="dxa"/>
            <w:bottom w:w="0" w:type="dxa"/>
            <w:right w:w="108" w:type="dxa"/>
          </w:tblCellMar>
        </w:tblPrEx>
        <w:trPr>
          <w:trHeight w:val="330" w:hRule="atLeast"/>
        </w:trPr>
        <w:tc>
          <w:tcPr>
            <w:tcW w:w="760"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秋季学期</w:t>
            </w:r>
          </w:p>
        </w:tc>
        <w:tc>
          <w:tcPr>
            <w:tcW w:w="740"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b/>
                <w:bCs/>
                <w:color w:val="000000"/>
                <w:kern w:val="0"/>
                <w:sz w:val="22"/>
              </w:rPr>
            </w:pPr>
            <w:r>
              <w:rPr>
                <w:rFonts w:hint="eastAsia" w:ascii="宋体" w:hAnsi="宋体" w:eastAsia="宋体" w:cs="宋体"/>
                <w:b/>
                <w:bCs/>
                <w:color w:val="000000"/>
                <w:kern w:val="0"/>
                <w:sz w:val="22"/>
              </w:rPr>
              <w:t>9月</w:t>
            </w:r>
          </w:p>
        </w:tc>
        <w:tc>
          <w:tcPr>
            <w:tcW w:w="4151" w:type="dxa"/>
            <w:tcBorders>
              <w:top w:val="nil"/>
              <w:left w:val="nil"/>
              <w:bottom w:val="single" w:color="auto" w:sz="4" w:space="0"/>
              <w:right w:val="single" w:color="auto" w:sz="4" w:space="0"/>
            </w:tcBorders>
            <w:shd w:val="clear" w:color="auto" w:fill="auto"/>
            <w:vAlign w:val="center"/>
          </w:tcPr>
          <w:p>
            <w:pPr>
              <w:widowControl/>
              <w:jc w:val="center"/>
              <w:rPr>
                <w:rFonts w:ascii="微软雅黑" w:hAnsi="微软雅黑" w:eastAsia="微软雅黑" w:cs="宋体"/>
                <w:color w:val="333333"/>
                <w:kern w:val="0"/>
                <w:sz w:val="22"/>
              </w:rPr>
            </w:pPr>
            <w:r>
              <w:rPr>
                <w:rFonts w:hint="eastAsia" w:ascii="微软雅黑" w:hAnsi="微软雅黑" w:eastAsia="微软雅黑" w:cs="宋体"/>
                <w:color w:val="333333"/>
                <w:kern w:val="0"/>
                <w:sz w:val="22"/>
                <w:lang w:val="en-US" w:eastAsia="zh-CN"/>
              </w:rPr>
              <w:t>教风建设活动月</w:t>
            </w:r>
          </w:p>
        </w:tc>
        <w:tc>
          <w:tcPr>
            <w:tcW w:w="1129" w:type="dxa"/>
            <w:tcBorders>
              <w:top w:val="nil"/>
              <w:left w:val="nil"/>
              <w:bottom w:val="single" w:color="auto" w:sz="4" w:space="0"/>
              <w:right w:val="single" w:color="auto" w:sz="4" w:space="0"/>
            </w:tcBorders>
            <w:shd w:val="clear" w:color="auto" w:fill="auto"/>
            <w:noWrap/>
            <w:vAlign w:val="center"/>
          </w:tcPr>
          <w:p>
            <w:pPr>
              <w:widowControl/>
              <w:jc w:val="center"/>
              <w:rPr>
                <w:rFonts w:ascii="微软雅黑" w:hAnsi="微软雅黑" w:eastAsia="微软雅黑" w:cs="宋体"/>
                <w:color w:val="333333"/>
                <w:kern w:val="0"/>
                <w:sz w:val="22"/>
              </w:rPr>
            </w:pPr>
            <w:r>
              <w:rPr>
                <w:rFonts w:hint="eastAsia" w:ascii="微软雅黑" w:hAnsi="微软雅黑" w:eastAsia="微软雅黑" w:cs="宋体"/>
                <w:color w:val="333333"/>
                <w:kern w:val="0"/>
                <w:sz w:val="22"/>
              </w:rPr>
              <w:t>全体教师</w:t>
            </w:r>
          </w:p>
        </w:tc>
        <w:tc>
          <w:tcPr>
            <w:tcW w:w="1780" w:type="dxa"/>
            <w:tcBorders>
              <w:top w:val="nil"/>
              <w:left w:val="nil"/>
              <w:bottom w:val="single" w:color="auto" w:sz="4" w:space="0"/>
              <w:right w:val="single" w:color="auto" w:sz="4" w:space="0"/>
            </w:tcBorders>
            <w:shd w:val="clear" w:color="auto" w:fill="auto"/>
            <w:noWrap/>
            <w:vAlign w:val="center"/>
          </w:tcPr>
          <w:p>
            <w:pPr>
              <w:widowControl/>
              <w:jc w:val="center"/>
              <w:rPr>
                <w:rFonts w:ascii="微软雅黑" w:hAnsi="微软雅黑" w:eastAsia="微软雅黑" w:cs="宋体"/>
                <w:color w:val="333333"/>
                <w:kern w:val="0"/>
                <w:sz w:val="22"/>
              </w:rPr>
            </w:pPr>
            <w:r>
              <w:rPr>
                <w:rFonts w:hint="eastAsia" w:ascii="微软雅黑" w:hAnsi="微软雅黑" w:eastAsia="微软雅黑" w:cs="宋体"/>
                <w:color w:val="333333"/>
                <w:kern w:val="0"/>
                <w:sz w:val="22"/>
              </w:rPr>
              <w:t>教务处</w:t>
            </w:r>
          </w:p>
        </w:tc>
      </w:tr>
      <w:tr>
        <w:tblPrEx>
          <w:tblCellMar>
            <w:top w:w="0" w:type="dxa"/>
            <w:left w:w="108" w:type="dxa"/>
            <w:bottom w:w="0" w:type="dxa"/>
            <w:right w:w="108" w:type="dxa"/>
          </w:tblCellMar>
        </w:tblPrEx>
        <w:trPr>
          <w:trHeight w:val="990" w:hRule="atLeast"/>
        </w:trPr>
        <w:tc>
          <w:tcPr>
            <w:tcW w:w="760"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eastAsia="宋体" w:cs="宋体"/>
                <w:color w:val="000000"/>
                <w:kern w:val="0"/>
                <w:sz w:val="22"/>
              </w:rPr>
            </w:pPr>
          </w:p>
        </w:tc>
        <w:tc>
          <w:tcPr>
            <w:tcW w:w="740"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b/>
                <w:bCs/>
                <w:color w:val="000000"/>
                <w:kern w:val="0"/>
                <w:sz w:val="22"/>
              </w:rPr>
            </w:pPr>
            <w:r>
              <w:rPr>
                <w:rFonts w:hint="eastAsia" w:ascii="宋体" w:hAnsi="宋体" w:eastAsia="宋体" w:cs="宋体"/>
                <w:b/>
                <w:bCs/>
                <w:color w:val="000000"/>
                <w:kern w:val="0"/>
                <w:sz w:val="22"/>
              </w:rPr>
              <w:t>10月</w:t>
            </w:r>
          </w:p>
        </w:tc>
        <w:tc>
          <w:tcPr>
            <w:tcW w:w="4151" w:type="dxa"/>
            <w:tcBorders>
              <w:top w:val="nil"/>
              <w:left w:val="nil"/>
              <w:bottom w:val="single" w:color="auto" w:sz="4" w:space="0"/>
              <w:right w:val="single" w:color="auto" w:sz="4" w:space="0"/>
            </w:tcBorders>
            <w:shd w:val="clear" w:color="auto" w:fill="auto"/>
            <w:vAlign w:val="center"/>
          </w:tcPr>
          <w:p>
            <w:pPr>
              <w:widowControl/>
              <w:jc w:val="center"/>
              <w:rPr>
                <w:rFonts w:ascii="微软雅黑" w:hAnsi="微软雅黑" w:eastAsia="微软雅黑" w:cs="宋体"/>
                <w:color w:val="333333"/>
                <w:kern w:val="0"/>
                <w:sz w:val="22"/>
              </w:rPr>
            </w:pPr>
            <w:r>
              <w:rPr>
                <w:rFonts w:hint="eastAsia" w:ascii="微软雅黑" w:hAnsi="微软雅黑" w:eastAsia="微软雅黑" w:cs="宋体"/>
                <w:color w:val="333333"/>
                <w:kern w:val="0"/>
                <w:sz w:val="22"/>
                <w:lang w:val="en-US" w:eastAsia="zh-CN"/>
              </w:rPr>
              <w:t>教务微信平台、学校广播电台</w:t>
            </w:r>
            <w:r>
              <w:rPr>
                <w:rFonts w:hint="eastAsia" w:ascii="微软雅黑" w:hAnsi="微软雅黑" w:eastAsia="微软雅黑" w:cs="宋体"/>
                <w:color w:val="333333"/>
                <w:kern w:val="0"/>
                <w:sz w:val="22"/>
              </w:rPr>
              <w:t>宣传师德榜样事迹（每月2人，每学院1人）</w:t>
            </w:r>
          </w:p>
        </w:tc>
        <w:tc>
          <w:tcPr>
            <w:tcW w:w="1129" w:type="dxa"/>
            <w:tcBorders>
              <w:top w:val="nil"/>
              <w:left w:val="nil"/>
              <w:bottom w:val="single" w:color="auto" w:sz="4" w:space="0"/>
              <w:right w:val="single" w:color="auto" w:sz="4" w:space="0"/>
            </w:tcBorders>
            <w:shd w:val="clear" w:color="auto" w:fill="auto"/>
            <w:noWrap/>
            <w:vAlign w:val="center"/>
          </w:tcPr>
          <w:p>
            <w:pPr>
              <w:widowControl/>
              <w:jc w:val="center"/>
              <w:rPr>
                <w:rFonts w:ascii="微软雅黑" w:hAnsi="微软雅黑" w:eastAsia="微软雅黑" w:cs="宋体"/>
                <w:color w:val="333333"/>
                <w:kern w:val="0"/>
                <w:sz w:val="22"/>
              </w:rPr>
            </w:pPr>
            <w:r>
              <w:rPr>
                <w:rFonts w:hint="eastAsia" w:ascii="微软雅黑" w:hAnsi="微软雅黑" w:eastAsia="微软雅黑" w:cs="宋体"/>
                <w:color w:val="333333"/>
                <w:kern w:val="0"/>
                <w:sz w:val="22"/>
              </w:rPr>
              <w:t>各学院</w:t>
            </w:r>
          </w:p>
        </w:tc>
        <w:tc>
          <w:tcPr>
            <w:tcW w:w="1780" w:type="dxa"/>
            <w:tcBorders>
              <w:top w:val="nil"/>
              <w:left w:val="nil"/>
              <w:bottom w:val="single" w:color="auto" w:sz="4" w:space="0"/>
              <w:right w:val="single" w:color="auto" w:sz="4" w:space="0"/>
            </w:tcBorders>
            <w:shd w:val="clear" w:color="auto" w:fill="auto"/>
            <w:vAlign w:val="center"/>
          </w:tcPr>
          <w:p>
            <w:pPr>
              <w:widowControl/>
              <w:jc w:val="center"/>
              <w:rPr>
                <w:rFonts w:ascii="微软雅黑" w:hAnsi="微软雅黑" w:eastAsia="微软雅黑" w:cs="宋体"/>
                <w:color w:val="333333"/>
                <w:kern w:val="0"/>
                <w:sz w:val="22"/>
              </w:rPr>
            </w:pPr>
            <w:r>
              <w:rPr>
                <w:rFonts w:hint="eastAsia" w:ascii="微软雅黑" w:hAnsi="微软雅黑" w:eastAsia="微软雅黑" w:cs="宋体"/>
                <w:color w:val="333333"/>
                <w:kern w:val="0"/>
                <w:sz w:val="22"/>
              </w:rPr>
              <w:t>各学院</w:t>
            </w:r>
            <w:r>
              <w:rPr>
                <w:rFonts w:hint="eastAsia" w:ascii="微软雅黑" w:hAnsi="微软雅黑" w:eastAsia="微软雅黑" w:cs="宋体"/>
                <w:color w:val="333333"/>
                <w:kern w:val="0"/>
                <w:sz w:val="22"/>
                <w:lang w:eastAsia="zh-CN"/>
              </w:rPr>
              <w:t>、</w:t>
            </w:r>
            <w:r>
              <w:rPr>
                <w:rFonts w:hint="eastAsia" w:ascii="微软雅黑" w:hAnsi="微软雅黑" w:eastAsia="微软雅黑" w:cs="宋体"/>
                <w:color w:val="333333"/>
                <w:kern w:val="0"/>
                <w:sz w:val="22"/>
              </w:rPr>
              <w:t>教务处</w:t>
            </w:r>
          </w:p>
        </w:tc>
      </w:tr>
      <w:tr>
        <w:tblPrEx>
          <w:tblCellMar>
            <w:top w:w="0" w:type="dxa"/>
            <w:left w:w="108" w:type="dxa"/>
            <w:bottom w:w="0" w:type="dxa"/>
            <w:right w:w="108" w:type="dxa"/>
          </w:tblCellMar>
        </w:tblPrEx>
        <w:trPr>
          <w:trHeight w:val="330" w:hRule="atLeast"/>
        </w:trPr>
        <w:tc>
          <w:tcPr>
            <w:tcW w:w="760"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eastAsia="宋体" w:cs="宋体"/>
                <w:color w:val="000000"/>
                <w:kern w:val="0"/>
                <w:sz w:val="22"/>
              </w:rPr>
            </w:pPr>
          </w:p>
        </w:tc>
        <w:tc>
          <w:tcPr>
            <w:tcW w:w="740"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b/>
                <w:bCs/>
                <w:color w:val="000000"/>
                <w:kern w:val="0"/>
                <w:sz w:val="22"/>
              </w:rPr>
            </w:pPr>
            <w:r>
              <w:rPr>
                <w:rFonts w:hint="eastAsia" w:ascii="宋体" w:hAnsi="宋体" w:eastAsia="宋体" w:cs="宋体"/>
                <w:b/>
                <w:bCs/>
                <w:color w:val="000000"/>
                <w:kern w:val="0"/>
                <w:sz w:val="22"/>
              </w:rPr>
              <w:t>11月</w:t>
            </w:r>
          </w:p>
        </w:tc>
        <w:tc>
          <w:tcPr>
            <w:tcW w:w="4151" w:type="dxa"/>
            <w:tcBorders>
              <w:top w:val="nil"/>
              <w:left w:val="nil"/>
              <w:bottom w:val="single" w:color="auto" w:sz="4" w:space="0"/>
              <w:right w:val="single" w:color="auto" w:sz="4" w:space="0"/>
            </w:tcBorders>
            <w:shd w:val="clear" w:color="auto" w:fill="auto"/>
            <w:vAlign w:val="center"/>
          </w:tcPr>
          <w:p>
            <w:pPr>
              <w:widowControl/>
              <w:jc w:val="center"/>
              <w:rPr>
                <w:rFonts w:ascii="微软雅黑" w:hAnsi="微软雅黑" w:eastAsia="微软雅黑" w:cs="宋体"/>
                <w:color w:val="333333"/>
                <w:kern w:val="0"/>
                <w:sz w:val="22"/>
              </w:rPr>
            </w:pPr>
            <w:r>
              <w:rPr>
                <w:rFonts w:hint="eastAsia" w:ascii="微软雅黑" w:hAnsi="微软雅黑" w:eastAsia="微软雅黑" w:cs="宋体"/>
                <w:color w:val="333333"/>
                <w:kern w:val="0"/>
                <w:sz w:val="22"/>
                <w:lang w:val="en-US" w:eastAsia="zh-CN"/>
              </w:rPr>
              <w:t>校级课程思政</w:t>
            </w:r>
            <w:r>
              <w:rPr>
                <w:rFonts w:hint="eastAsia" w:ascii="微软雅黑" w:hAnsi="微软雅黑" w:eastAsia="微软雅黑" w:cs="宋体"/>
                <w:color w:val="333333"/>
                <w:kern w:val="0"/>
                <w:sz w:val="22"/>
              </w:rPr>
              <w:t>交流</w:t>
            </w:r>
            <w:r>
              <w:rPr>
                <w:rFonts w:hint="eastAsia" w:ascii="微软雅黑" w:hAnsi="微软雅黑" w:eastAsia="微软雅黑" w:cs="宋体"/>
                <w:color w:val="333333"/>
                <w:kern w:val="0"/>
                <w:sz w:val="22"/>
                <w:lang w:val="en-US" w:eastAsia="zh-CN"/>
              </w:rPr>
              <w:t>活动</w:t>
            </w:r>
          </w:p>
        </w:tc>
        <w:tc>
          <w:tcPr>
            <w:tcW w:w="1129" w:type="dxa"/>
            <w:tcBorders>
              <w:top w:val="nil"/>
              <w:left w:val="nil"/>
              <w:bottom w:val="single" w:color="auto" w:sz="4" w:space="0"/>
              <w:right w:val="single" w:color="auto" w:sz="4" w:space="0"/>
            </w:tcBorders>
            <w:shd w:val="clear" w:color="auto" w:fill="auto"/>
            <w:noWrap/>
            <w:vAlign w:val="center"/>
          </w:tcPr>
          <w:p>
            <w:pPr>
              <w:widowControl/>
              <w:jc w:val="center"/>
              <w:rPr>
                <w:rFonts w:ascii="微软雅黑" w:hAnsi="微软雅黑" w:eastAsia="微软雅黑" w:cs="宋体"/>
                <w:color w:val="333333"/>
                <w:kern w:val="0"/>
                <w:sz w:val="22"/>
              </w:rPr>
            </w:pPr>
            <w:r>
              <w:rPr>
                <w:rFonts w:hint="eastAsia" w:ascii="微软雅黑" w:hAnsi="微软雅黑" w:eastAsia="微软雅黑" w:cs="宋体"/>
                <w:color w:val="333333"/>
                <w:kern w:val="0"/>
                <w:sz w:val="22"/>
              </w:rPr>
              <w:t>全体教师</w:t>
            </w:r>
          </w:p>
        </w:tc>
        <w:tc>
          <w:tcPr>
            <w:tcW w:w="1780" w:type="dxa"/>
            <w:tcBorders>
              <w:top w:val="nil"/>
              <w:left w:val="nil"/>
              <w:bottom w:val="single" w:color="auto" w:sz="4" w:space="0"/>
              <w:right w:val="single" w:color="auto" w:sz="4" w:space="0"/>
            </w:tcBorders>
            <w:shd w:val="clear" w:color="auto" w:fill="auto"/>
            <w:noWrap/>
            <w:vAlign w:val="center"/>
          </w:tcPr>
          <w:p>
            <w:pPr>
              <w:widowControl/>
              <w:jc w:val="center"/>
              <w:rPr>
                <w:rFonts w:hint="default" w:ascii="微软雅黑" w:hAnsi="微软雅黑" w:eastAsia="微软雅黑" w:cs="宋体"/>
                <w:color w:val="333333"/>
                <w:kern w:val="0"/>
                <w:sz w:val="22"/>
                <w:lang w:val="en-US" w:eastAsia="zh-CN"/>
              </w:rPr>
            </w:pPr>
            <w:r>
              <w:rPr>
                <w:rFonts w:hint="eastAsia" w:ascii="微软雅黑" w:hAnsi="微软雅黑" w:eastAsia="微软雅黑" w:cs="宋体"/>
                <w:color w:val="333333"/>
                <w:kern w:val="0"/>
                <w:sz w:val="22"/>
              </w:rPr>
              <w:t>教务处</w:t>
            </w:r>
          </w:p>
        </w:tc>
      </w:tr>
      <w:tr>
        <w:tblPrEx>
          <w:tblCellMar>
            <w:top w:w="0" w:type="dxa"/>
            <w:left w:w="108" w:type="dxa"/>
            <w:bottom w:w="0" w:type="dxa"/>
            <w:right w:w="108" w:type="dxa"/>
          </w:tblCellMar>
        </w:tblPrEx>
        <w:trPr>
          <w:trHeight w:val="330" w:hRule="atLeast"/>
        </w:trPr>
        <w:tc>
          <w:tcPr>
            <w:tcW w:w="760"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eastAsia="宋体" w:cs="宋体"/>
                <w:color w:val="000000"/>
                <w:kern w:val="0"/>
                <w:sz w:val="22"/>
              </w:rPr>
            </w:pPr>
          </w:p>
        </w:tc>
        <w:tc>
          <w:tcPr>
            <w:tcW w:w="740"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b/>
                <w:bCs/>
                <w:color w:val="000000"/>
                <w:kern w:val="0"/>
                <w:sz w:val="22"/>
              </w:rPr>
            </w:pPr>
            <w:r>
              <w:rPr>
                <w:rFonts w:hint="eastAsia" w:ascii="宋体" w:hAnsi="宋体" w:eastAsia="宋体" w:cs="宋体"/>
                <w:b/>
                <w:bCs/>
                <w:color w:val="000000"/>
                <w:kern w:val="0"/>
                <w:sz w:val="22"/>
              </w:rPr>
              <w:t>12月</w:t>
            </w:r>
          </w:p>
        </w:tc>
        <w:tc>
          <w:tcPr>
            <w:tcW w:w="4151" w:type="dxa"/>
            <w:tcBorders>
              <w:top w:val="nil"/>
              <w:left w:val="nil"/>
              <w:bottom w:val="single" w:color="auto" w:sz="4" w:space="0"/>
              <w:right w:val="single" w:color="auto" w:sz="4" w:space="0"/>
            </w:tcBorders>
            <w:shd w:val="clear" w:color="auto" w:fill="auto"/>
            <w:vAlign w:val="center"/>
          </w:tcPr>
          <w:p>
            <w:pPr>
              <w:widowControl/>
              <w:jc w:val="center"/>
              <w:rPr>
                <w:rFonts w:hint="default" w:ascii="微软雅黑" w:hAnsi="微软雅黑" w:eastAsia="微软雅黑" w:cs="宋体"/>
                <w:color w:val="333333"/>
                <w:kern w:val="0"/>
                <w:sz w:val="22"/>
                <w:lang w:val="en-US" w:eastAsia="zh-CN"/>
              </w:rPr>
            </w:pPr>
            <w:r>
              <w:rPr>
                <w:rFonts w:hint="eastAsia" w:ascii="微软雅黑" w:hAnsi="微软雅黑" w:eastAsia="微软雅黑" w:cs="宋体"/>
                <w:color w:val="333333"/>
                <w:kern w:val="0"/>
                <w:sz w:val="22"/>
              </w:rPr>
              <w:t>“</w:t>
            </w:r>
            <w:r>
              <w:rPr>
                <w:rFonts w:hint="eastAsia" w:ascii="微软雅黑" w:hAnsi="微软雅黑" w:eastAsia="微软雅黑" w:cs="宋体"/>
                <w:color w:val="333333"/>
                <w:kern w:val="0"/>
                <w:sz w:val="22"/>
                <w:lang w:val="en-US" w:eastAsia="zh-CN"/>
              </w:rPr>
              <w:t>育人先进个人</w:t>
            </w:r>
            <w:r>
              <w:rPr>
                <w:rFonts w:hint="eastAsia" w:ascii="微软雅黑" w:hAnsi="微软雅黑" w:eastAsia="微软雅黑" w:cs="宋体"/>
                <w:color w:val="333333"/>
                <w:kern w:val="0"/>
                <w:sz w:val="22"/>
              </w:rPr>
              <w:t>”</w:t>
            </w:r>
            <w:r>
              <w:rPr>
                <w:rFonts w:hint="eastAsia" w:ascii="微软雅黑" w:hAnsi="微软雅黑" w:eastAsia="微软雅黑" w:cs="宋体"/>
                <w:color w:val="333333"/>
                <w:kern w:val="0"/>
                <w:sz w:val="22"/>
                <w:lang w:val="en-US" w:eastAsia="zh-CN"/>
              </w:rPr>
              <w:t>评选表彰</w:t>
            </w:r>
          </w:p>
        </w:tc>
        <w:tc>
          <w:tcPr>
            <w:tcW w:w="1129" w:type="dxa"/>
            <w:tcBorders>
              <w:top w:val="nil"/>
              <w:left w:val="nil"/>
              <w:bottom w:val="single" w:color="auto" w:sz="4" w:space="0"/>
              <w:right w:val="single" w:color="auto" w:sz="4" w:space="0"/>
            </w:tcBorders>
            <w:shd w:val="clear" w:color="auto" w:fill="auto"/>
            <w:noWrap/>
            <w:vAlign w:val="center"/>
          </w:tcPr>
          <w:p>
            <w:pPr>
              <w:widowControl/>
              <w:jc w:val="center"/>
              <w:rPr>
                <w:rFonts w:ascii="微软雅黑" w:hAnsi="微软雅黑" w:eastAsia="微软雅黑" w:cs="宋体"/>
                <w:color w:val="333333"/>
                <w:kern w:val="0"/>
                <w:sz w:val="22"/>
              </w:rPr>
            </w:pPr>
            <w:r>
              <w:rPr>
                <w:rFonts w:hint="eastAsia" w:ascii="微软雅黑" w:hAnsi="微软雅黑" w:eastAsia="微软雅黑" w:cs="宋体"/>
                <w:color w:val="333333"/>
                <w:kern w:val="0"/>
                <w:sz w:val="22"/>
              </w:rPr>
              <w:t>全体教师</w:t>
            </w:r>
          </w:p>
        </w:tc>
        <w:tc>
          <w:tcPr>
            <w:tcW w:w="1780" w:type="dxa"/>
            <w:tcBorders>
              <w:top w:val="nil"/>
              <w:left w:val="nil"/>
              <w:bottom w:val="single" w:color="auto" w:sz="4" w:space="0"/>
              <w:right w:val="single" w:color="auto" w:sz="4" w:space="0"/>
            </w:tcBorders>
            <w:shd w:val="clear" w:color="auto" w:fill="auto"/>
            <w:noWrap/>
            <w:vAlign w:val="center"/>
          </w:tcPr>
          <w:p>
            <w:pPr>
              <w:widowControl/>
              <w:jc w:val="center"/>
              <w:rPr>
                <w:rFonts w:ascii="微软雅黑" w:hAnsi="微软雅黑" w:eastAsia="微软雅黑" w:cs="宋体"/>
                <w:color w:val="333333"/>
                <w:kern w:val="0"/>
                <w:sz w:val="22"/>
              </w:rPr>
            </w:pPr>
            <w:r>
              <w:rPr>
                <w:rFonts w:hint="eastAsia" w:ascii="微软雅黑" w:hAnsi="微软雅黑" w:eastAsia="微软雅黑" w:cs="宋体"/>
                <w:color w:val="333333"/>
                <w:kern w:val="0"/>
                <w:sz w:val="22"/>
              </w:rPr>
              <w:t>教务处</w:t>
            </w:r>
            <w:r>
              <w:rPr>
                <w:rFonts w:hint="eastAsia" w:ascii="微软雅黑" w:hAnsi="微软雅黑" w:eastAsia="微软雅黑" w:cs="宋体"/>
                <w:color w:val="333333"/>
                <w:kern w:val="0"/>
                <w:sz w:val="22"/>
                <w:lang w:eastAsia="zh-CN"/>
              </w:rPr>
              <w:t>、</w:t>
            </w:r>
            <w:r>
              <w:rPr>
                <w:rFonts w:hint="eastAsia" w:ascii="微软雅黑" w:hAnsi="微软雅黑" w:eastAsia="微软雅黑" w:cs="宋体"/>
                <w:color w:val="333333"/>
                <w:kern w:val="0"/>
                <w:sz w:val="22"/>
                <w:lang w:val="en-US" w:eastAsia="zh-CN"/>
              </w:rPr>
              <w:t>各学院</w:t>
            </w:r>
          </w:p>
        </w:tc>
      </w:tr>
      <w:tr>
        <w:tblPrEx>
          <w:tblCellMar>
            <w:top w:w="0" w:type="dxa"/>
            <w:left w:w="108" w:type="dxa"/>
            <w:bottom w:w="0" w:type="dxa"/>
            <w:right w:w="108" w:type="dxa"/>
          </w:tblCellMar>
        </w:tblPrEx>
        <w:trPr>
          <w:trHeight w:val="330" w:hRule="atLeast"/>
        </w:trPr>
        <w:tc>
          <w:tcPr>
            <w:tcW w:w="760"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eastAsia="宋体" w:cs="宋体"/>
                <w:color w:val="000000"/>
                <w:kern w:val="0"/>
                <w:sz w:val="22"/>
              </w:rPr>
            </w:pPr>
          </w:p>
        </w:tc>
        <w:tc>
          <w:tcPr>
            <w:tcW w:w="740"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b/>
                <w:bCs/>
                <w:color w:val="000000"/>
                <w:kern w:val="0"/>
                <w:sz w:val="22"/>
              </w:rPr>
            </w:pPr>
            <w:r>
              <w:rPr>
                <w:rFonts w:hint="eastAsia" w:ascii="宋体" w:hAnsi="宋体" w:eastAsia="宋体" w:cs="宋体"/>
                <w:b/>
                <w:bCs/>
                <w:color w:val="000000"/>
                <w:kern w:val="0"/>
                <w:sz w:val="22"/>
              </w:rPr>
              <w:t>1月</w:t>
            </w:r>
          </w:p>
        </w:tc>
        <w:tc>
          <w:tcPr>
            <w:tcW w:w="4151" w:type="dxa"/>
            <w:tcBorders>
              <w:top w:val="nil"/>
              <w:left w:val="nil"/>
              <w:bottom w:val="single" w:color="auto" w:sz="4" w:space="0"/>
              <w:right w:val="single" w:color="auto" w:sz="4" w:space="0"/>
            </w:tcBorders>
            <w:shd w:val="clear" w:color="auto" w:fill="auto"/>
            <w:vAlign w:val="center"/>
          </w:tcPr>
          <w:p>
            <w:pPr>
              <w:widowControl/>
              <w:jc w:val="center"/>
              <w:rPr>
                <w:rFonts w:ascii="微软雅黑" w:hAnsi="微软雅黑" w:eastAsia="微软雅黑" w:cs="宋体"/>
                <w:color w:val="333333"/>
                <w:kern w:val="0"/>
                <w:sz w:val="22"/>
              </w:rPr>
            </w:pPr>
            <w:r>
              <w:rPr>
                <w:rFonts w:hint="eastAsia" w:ascii="微软雅黑" w:hAnsi="微软雅黑" w:eastAsia="微软雅黑" w:cs="宋体"/>
                <w:color w:val="333333"/>
                <w:kern w:val="0"/>
                <w:sz w:val="22"/>
              </w:rPr>
              <w:t>师德师风考试</w:t>
            </w:r>
          </w:p>
        </w:tc>
        <w:tc>
          <w:tcPr>
            <w:tcW w:w="1129" w:type="dxa"/>
            <w:tcBorders>
              <w:top w:val="nil"/>
              <w:left w:val="nil"/>
              <w:bottom w:val="single" w:color="auto" w:sz="4" w:space="0"/>
              <w:right w:val="single" w:color="auto" w:sz="4" w:space="0"/>
            </w:tcBorders>
            <w:shd w:val="clear" w:color="auto" w:fill="auto"/>
            <w:noWrap/>
            <w:vAlign w:val="center"/>
          </w:tcPr>
          <w:p>
            <w:pPr>
              <w:widowControl/>
              <w:jc w:val="center"/>
              <w:rPr>
                <w:rFonts w:ascii="微软雅黑" w:hAnsi="微软雅黑" w:eastAsia="微软雅黑" w:cs="宋体"/>
                <w:color w:val="333333"/>
                <w:kern w:val="0"/>
                <w:sz w:val="22"/>
              </w:rPr>
            </w:pPr>
            <w:r>
              <w:rPr>
                <w:rFonts w:hint="eastAsia" w:ascii="微软雅黑" w:hAnsi="微软雅黑" w:eastAsia="微软雅黑" w:cs="宋体"/>
                <w:color w:val="333333"/>
                <w:kern w:val="0"/>
                <w:sz w:val="22"/>
              </w:rPr>
              <w:t>全体教师</w:t>
            </w:r>
          </w:p>
        </w:tc>
        <w:tc>
          <w:tcPr>
            <w:tcW w:w="1780" w:type="dxa"/>
            <w:tcBorders>
              <w:top w:val="nil"/>
              <w:left w:val="nil"/>
              <w:bottom w:val="single" w:color="auto" w:sz="4" w:space="0"/>
              <w:right w:val="single" w:color="auto" w:sz="4" w:space="0"/>
            </w:tcBorders>
            <w:shd w:val="clear" w:color="auto" w:fill="auto"/>
            <w:noWrap/>
            <w:vAlign w:val="center"/>
          </w:tcPr>
          <w:p>
            <w:pPr>
              <w:widowControl/>
              <w:jc w:val="center"/>
              <w:rPr>
                <w:rFonts w:ascii="微软雅黑" w:hAnsi="微软雅黑" w:eastAsia="微软雅黑" w:cs="宋体"/>
                <w:color w:val="333333"/>
                <w:kern w:val="0"/>
                <w:sz w:val="22"/>
              </w:rPr>
            </w:pPr>
            <w:r>
              <w:rPr>
                <w:rFonts w:hint="eastAsia" w:ascii="微软雅黑" w:hAnsi="微软雅黑" w:eastAsia="微软雅黑" w:cs="宋体"/>
                <w:color w:val="333333"/>
                <w:kern w:val="0"/>
                <w:sz w:val="22"/>
              </w:rPr>
              <w:t>教务处</w:t>
            </w:r>
          </w:p>
        </w:tc>
      </w:tr>
    </w:tbl>
    <w:p>
      <w:pPr>
        <w:jc w:val="left"/>
        <w:rPr>
          <w:sz w:val="32"/>
          <w:szCs w:val="32"/>
        </w:rPr>
      </w:pPr>
    </w:p>
    <w:p>
      <w:pPr>
        <w:jc w:val="left"/>
        <w:rPr>
          <w:sz w:val="32"/>
          <w:szCs w:val="32"/>
        </w:rPr>
      </w:pPr>
    </w:p>
    <w:p>
      <w:pPr>
        <w:ind w:firstLine="640" w:firstLineChars="200"/>
        <w:jc w:val="left"/>
        <w:rPr>
          <w:sz w:val="32"/>
          <w:szCs w:val="32"/>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仿宋_GB2312">
    <w:altName w:val="仿宋"/>
    <w:panose1 w:val="02010609030101010101"/>
    <w:charset w:val="86"/>
    <w:family w:val="modern"/>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2FE3141"/>
    <w:multiLevelType w:val="multilevel"/>
    <w:tmpl w:val="52FE3141"/>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6318"/>
    <w:rsid w:val="00462805"/>
    <w:rsid w:val="00500C92"/>
    <w:rsid w:val="005641D9"/>
    <w:rsid w:val="005B4A24"/>
    <w:rsid w:val="00923F7E"/>
    <w:rsid w:val="00927847"/>
    <w:rsid w:val="009F5AD8"/>
    <w:rsid w:val="00AA6BFC"/>
    <w:rsid w:val="00CD2C34"/>
    <w:rsid w:val="00D34ED4"/>
    <w:rsid w:val="00DB3FAC"/>
    <w:rsid w:val="00DE3370"/>
    <w:rsid w:val="00F66318"/>
    <w:rsid w:val="25E028E8"/>
    <w:rsid w:val="302827C0"/>
    <w:rsid w:val="37715572"/>
    <w:rsid w:val="45601057"/>
    <w:rsid w:val="4E4778FD"/>
    <w:rsid w:val="5B1073A4"/>
    <w:rsid w:val="747E53EB"/>
    <w:rsid w:val="79B67AA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link w:val="7"/>
    <w:unhideWhenUsed/>
    <w:uiPriority w:val="99"/>
    <w:pPr>
      <w:tabs>
        <w:tab w:val="center" w:pos="4153"/>
        <w:tab w:val="right" w:pos="8306"/>
      </w:tabs>
      <w:snapToGrid w:val="0"/>
      <w:jc w:val="left"/>
    </w:pPr>
    <w:rPr>
      <w:sz w:val="18"/>
      <w:szCs w:val="18"/>
    </w:rPr>
  </w:style>
  <w:style w:type="paragraph" w:styleId="3">
    <w:name w:val="header"/>
    <w:basedOn w:val="1"/>
    <w:link w:val="6"/>
    <w:unhideWhenUsed/>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5"/>
    <w:link w:val="3"/>
    <w:qFormat/>
    <w:uiPriority w:val="99"/>
    <w:rPr>
      <w:sz w:val="18"/>
      <w:szCs w:val="18"/>
    </w:rPr>
  </w:style>
  <w:style w:type="character" w:customStyle="1" w:styleId="7">
    <w:name w:val="页脚 Char"/>
    <w:basedOn w:val="5"/>
    <w:link w:val="2"/>
    <w:qFormat/>
    <w:uiPriority w:val="99"/>
    <w:rPr>
      <w:sz w:val="18"/>
      <w:szCs w:val="18"/>
    </w:rPr>
  </w:style>
  <w:style w:type="paragraph" w:styleId="8">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9</Pages>
  <Words>576</Words>
  <Characters>3285</Characters>
  <Lines>27</Lines>
  <Paragraphs>7</Paragraphs>
  <TotalTime>5</TotalTime>
  <ScaleCrop>false</ScaleCrop>
  <LinksUpToDate>false</LinksUpToDate>
  <CharactersWithSpaces>3854</CharactersWithSpaces>
  <Application>WPS Office_11.1.0.10356_F1E327BC-269C-435d-A152-05C5408002CA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2021-03-10T07:53:00Z</dcterms:created>
  <dc:creator>MC SYSTEM</dc:creator>
  <cp:lastModifiedBy>楊老獅</cp:lastModifiedBy>
  <dcterms:modified xsi:type="dcterms:W3CDTF">2021-03-11T08:52:00Z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2052-11.1.0.10356</vt:lpwstr>
  </property>
  <property fmtid="{D5CDD505-2E9C-101B-9397-08002B2CF9AE}" pid="3" name="ICV">
    <vt:lpwstr>3A7844EA073D479C97530275AC9F6730</vt:lpwstr>
  </property>
</Properties>
</file>